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08DE" w14:textId="2BBDCE97" w:rsidR="00765C48" w:rsidRPr="003B3BC9" w:rsidRDefault="002178E5" w:rsidP="00C4116A">
      <w:pPr>
        <w:rPr>
          <w:rFonts w:eastAsia="Arial"/>
          <w:b/>
          <w:color w:val="000000"/>
          <w:sz w:val="40"/>
          <w:u w:val="single"/>
        </w:rPr>
      </w:pPr>
      <w:bookmarkStart w:id="0" w:name="_Hlk142891075"/>
      <w:r w:rsidRPr="003B3BC9">
        <w:rPr>
          <w:rFonts w:eastAsia="Arial"/>
          <w:b/>
          <w:color w:val="000000"/>
          <w:sz w:val="40"/>
          <w:u w:val="single"/>
        </w:rPr>
        <w:t>Value for Money Statement</w:t>
      </w:r>
    </w:p>
    <w:p w14:paraId="23020644" w14:textId="77777777" w:rsidR="003B3BC9" w:rsidRPr="009F6652" w:rsidRDefault="003B3BC9" w:rsidP="003B3BC9">
      <w:pPr>
        <w:spacing w:before="259" w:line="250" w:lineRule="exact"/>
        <w:ind w:right="144"/>
        <w:textAlignment w:val="baseline"/>
        <w:rPr>
          <w:rFonts w:eastAsia="Arial"/>
          <w:b/>
          <w:color w:val="000000"/>
          <w:sz w:val="28"/>
          <w:u w:val="single"/>
        </w:rPr>
      </w:pPr>
      <w:r w:rsidRPr="009F6652">
        <w:rPr>
          <w:rFonts w:eastAsia="Arial"/>
          <w:b/>
          <w:color w:val="000000"/>
          <w:sz w:val="28"/>
          <w:u w:val="single"/>
        </w:rPr>
        <w:t>Our Strategic Approach to VFM</w:t>
      </w:r>
    </w:p>
    <w:p w14:paraId="1FB71B79" w14:textId="77777777" w:rsidR="003B3BC9" w:rsidRDefault="003B3BC9" w:rsidP="003B3BC9">
      <w:pPr>
        <w:spacing w:before="19" w:line="280" w:lineRule="exact"/>
        <w:ind w:left="72" w:right="72"/>
        <w:textAlignment w:val="baseline"/>
        <w:rPr>
          <w:rFonts w:eastAsia="Arial"/>
          <w:i/>
          <w:color w:val="000000"/>
          <w:sz w:val="20"/>
        </w:rPr>
      </w:pPr>
    </w:p>
    <w:p w14:paraId="4EA5B059" w14:textId="77777777" w:rsidR="003B3BC9" w:rsidRDefault="00155C39" w:rsidP="00680136">
      <w:pPr>
        <w:tabs>
          <w:tab w:val="left" w:pos="567"/>
        </w:tabs>
        <w:jc w:val="both"/>
        <w:rPr>
          <w:rFonts w:asciiTheme="minorHAnsi" w:eastAsia="Arial" w:hAnsiTheme="minorHAnsi"/>
          <w:color w:val="000000"/>
        </w:rPr>
      </w:pPr>
      <w:r>
        <w:rPr>
          <w:rFonts w:asciiTheme="minorHAnsi" w:eastAsia="Arial" w:hAnsiTheme="minorHAnsi"/>
          <w:color w:val="000000"/>
        </w:rPr>
        <w:t xml:space="preserve">At </w:t>
      </w:r>
      <w:r w:rsidR="003B3BC9" w:rsidRPr="00564BC5">
        <w:rPr>
          <w:rFonts w:asciiTheme="minorHAnsi" w:eastAsia="Arial" w:hAnsiTheme="minorHAnsi"/>
          <w:color w:val="000000"/>
        </w:rPr>
        <w:t xml:space="preserve">Choice </w:t>
      </w:r>
      <w:r>
        <w:rPr>
          <w:rFonts w:asciiTheme="minorHAnsi" w:eastAsia="Arial" w:hAnsiTheme="minorHAnsi"/>
          <w:color w:val="000000"/>
        </w:rPr>
        <w:t xml:space="preserve">we </w:t>
      </w:r>
      <w:r w:rsidR="000354FE">
        <w:rPr>
          <w:rFonts w:asciiTheme="minorHAnsi" w:eastAsia="Arial" w:hAnsiTheme="minorHAnsi"/>
          <w:color w:val="000000"/>
        </w:rPr>
        <w:t>believe</w:t>
      </w:r>
      <w:r w:rsidR="003B3BC9" w:rsidRPr="00564BC5">
        <w:rPr>
          <w:rFonts w:asciiTheme="minorHAnsi" w:eastAsia="Arial" w:hAnsiTheme="minorHAnsi"/>
          <w:color w:val="000000"/>
        </w:rPr>
        <w:t xml:space="preserve"> that a focus on Value for Money (“VFM”) leads to improved outcomes for </w:t>
      </w:r>
      <w:r>
        <w:rPr>
          <w:rFonts w:asciiTheme="minorHAnsi" w:eastAsia="Arial" w:hAnsiTheme="minorHAnsi"/>
          <w:color w:val="000000"/>
        </w:rPr>
        <w:t xml:space="preserve">our </w:t>
      </w:r>
      <w:r w:rsidR="003B3BC9" w:rsidRPr="00564BC5">
        <w:rPr>
          <w:rFonts w:asciiTheme="minorHAnsi" w:eastAsia="Arial" w:hAnsiTheme="minorHAnsi"/>
          <w:color w:val="000000"/>
        </w:rPr>
        <w:t>customers and</w:t>
      </w:r>
      <w:r>
        <w:rPr>
          <w:rFonts w:asciiTheme="minorHAnsi" w:eastAsia="Arial" w:hAnsiTheme="minorHAnsi"/>
          <w:color w:val="000000"/>
        </w:rPr>
        <w:t xml:space="preserve"> our</w:t>
      </w:r>
      <w:r w:rsidR="003B3BC9" w:rsidRPr="00564BC5">
        <w:rPr>
          <w:rFonts w:asciiTheme="minorHAnsi" w:eastAsia="Arial" w:hAnsiTheme="minorHAnsi"/>
          <w:color w:val="000000"/>
        </w:rPr>
        <w:t xml:space="preserve"> stakeholders, and </w:t>
      </w:r>
      <w:r>
        <w:rPr>
          <w:rFonts w:asciiTheme="minorHAnsi" w:eastAsia="Arial" w:hAnsiTheme="minorHAnsi"/>
          <w:color w:val="000000"/>
        </w:rPr>
        <w:t xml:space="preserve">that it </w:t>
      </w:r>
      <w:r w:rsidR="003B3BC9" w:rsidRPr="00564BC5">
        <w:rPr>
          <w:rFonts w:asciiTheme="minorHAnsi" w:eastAsia="Arial" w:hAnsiTheme="minorHAnsi"/>
          <w:color w:val="000000"/>
        </w:rPr>
        <w:t xml:space="preserve">generates savings on resources which can either be taken as short-term gains or recycled back into the organisation as additional longer-term investment. </w:t>
      </w:r>
      <w:r>
        <w:rPr>
          <w:rFonts w:asciiTheme="minorHAnsi" w:eastAsia="Arial" w:hAnsiTheme="minorHAnsi"/>
          <w:color w:val="000000"/>
        </w:rPr>
        <w:t xml:space="preserve">  We have embedded this concept into the organisation through our Strategic Plan which states through Value for Money we </w:t>
      </w:r>
      <w:r w:rsidR="00855EB8">
        <w:rPr>
          <w:rFonts w:asciiTheme="minorHAnsi" w:eastAsia="Arial" w:hAnsiTheme="minorHAnsi"/>
          <w:color w:val="000000"/>
        </w:rPr>
        <w:t>will</w:t>
      </w:r>
    </w:p>
    <w:p w14:paraId="456B136F" w14:textId="77777777" w:rsidR="00155C39" w:rsidRDefault="00155C39" w:rsidP="00680136">
      <w:pPr>
        <w:tabs>
          <w:tab w:val="left" w:pos="567"/>
        </w:tabs>
        <w:jc w:val="both"/>
        <w:rPr>
          <w:rFonts w:asciiTheme="minorHAnsi" w:eastAsia="Arial" w:hAnsiTheme="minorHAnsi"/>
          <w:color w:val="000000"/>
        </w:rPr>
      </w:pPr>
    </w:p>
    <w:p w14:paraId="37D55FA4" w14:textId="77777777" w:rsidR="00155C39" w:rsidRPr="00D25BB1" w:rsidRDefault="00155C39" w:rsidP="00680136">
      <w:pPr>
        <w:pStyle w:val="ListParagraph"/>
        <w:numPr>
          <w:ilvl w:val="0"/>
          <w:numId w:val="7"/>
        </w:numPr>
        <w:tabs>
          <w:tab w:val="left" w:pos="567"/>
        </w:tabs>
        <w:jc w:val="both"/>
        <w:rPr>
          <w:rFonts w:asciiTheme="minorHAnsi" w:eastAsia="Arial" w:hAnsiTheme="minorHAnsi"/>
          <w:color w:val="000000"/>
        </w:rPr>
      </w:pPr>
      <w:r w:rsidRPr="00D25BB1">
        <w:rPr>
          <w:rFonts w:asciiTheme="minorHAnsi" w:eastAsia="Arial" w:hAnsiTheme="minorHAnsi"/>
          <w:color w:val="000000"/>
        </w:rPr>
        <w:t xml:space="preserve">Maintain the affordability of our housing provision; </w:t>
      </w:r>
    </w:p>
    <w:p w14:paraId="0FC2FA03" w14:textId="77777777" w:rsidR="00155C39" w:rsidRPr="00D25BB1" w:rsidRDefault="00155C39" w:rsidP="00680136">
      <w:pPr>
        <w:pStyle w:val="ListParagraph"/>
        <w:numPr>
          <w:ilvl w:val="0"/>
          <w:numId w:val="7"/>
        </w:numPr>
        <w:tabs>
          <w:tab w:val="left" w:pos="567"/>
        </w:tabs>
        <w:jc w:val="both"/>
        <w:rPr>
          <w:rFonts w:asciiTheme="minorHAnsi" w:eastAsia="Arial" w:hAnsiTheme="minorHAnsi"/>
          <w:color w:val="000000"/>
        </w:rPr>
      </w:pPr>
      <w:r w:rsidRPr="00D25BB1">
        <w:rPr>
          <w:rFonts w:asciiTheme="minorHAnsi" w:eastAsia="Arial" w:hAnsiTheme="minorHAnsi"/>
          <w:color w:val="000000"/>
        </w:rPr>
        <w:t>Increase the return on investment, economic and social;</w:t>
      </w:r>
    </w:p>
    <w:p w14:paraId="45FDF9FD" w14:textId="77777777" w:rsidR="00155C39" w:rsidRPr="00D25BB1" w:rsidRDefault="00155C39" w:rsidP="00680136">
      <w:pPr>
        <w:pStyle w:val="ListParagraph"/>
        <w:numPr>
          <w:ilvl w:val="0"/>
          <w:numId w:val="7"/>
        </w:numPr>
        <w:tabs>
          <w:tab w:val="left" w:pos="567"/>
        </w:tabs>
        <w:jc w:val="both"/>
        <w:rPr>
          <w:rFonts w:asciiTheme="minorHAnsi" w:eastAsia="Arial" w:hAnsiTheme="minorHAnsi"/>
          <w:color w:val="000000"/>
        </w:rPr>
      </w:pPr>
      <w:r w:rsidRPr="00D25BB1">
        <w:rPr>
          <w:rFonts w:asciiTheme="minorHAnsi" w:eastAsia="Arial" w:hAnsiTheme="minorHAnsi"/>
          <w:color w:val="000000"/>
        </w:rPr>
        <w:t>Improve the core efficiencies relative to others, particularly in relation to repairs and maintenance; and</w:t>
      </w:r>
    </w:p>
    <w:p w14:paraId="3B6C41E4" w14:textId="77777777" w:rsidR="00155C39" w:rsidRPr="00D25BB1" w:rsidRDefault="00155C39" w:rsidP="00680136">
      <w:pPr>
        <w:pStyle w:val="ListParagraph"/>
        <w:numPr>
          <w:ilvl w:val="0"/>
          <w:numId w:val="7"/>
        </w:numPr>
        <w:tabs>
          <w:tab w:val="left" w:pos="567"/>
        </w:tabs>
        <w:jc w:val="both"/>
        <w:rPr>
          <w:rFonts w:asciiTheme="minorHAnsi" w:eastAsia="Arial" w:hAnsiTheme="minorHAnsi"/>
          <w:color w:val="000000"/>
        </w:rPr>
      </w:pPr>
      <w:r w:rsidRPr="00D25BB1">
        <w:rPr>
          <w:rFonts w:asciiTheme="minorHAnsi" w:eastAsia="Arial" w:hAnsiTheme="minorHAnsi"/>
          <w:color w:val="000000"/>
        </w:rPr>
        <w:t>Reduce the differential between private and social housing new build development costs.</w:t>
      </w:r>
    </w:p>
    <w:p w14:paraId="43289FA5" w14:textId="77777777" w:rsidR="00155C39" w:rsidRDefault="00155C39" w:rsidP="00680136">
      <w:pPr>
        <w:tabs>
          <w:tab w:val="left" w:pos="567"/>
        </w:tabs>
        <w:jc w:val="both"/>
        <w:rPr>
          <w:rFonts w:asciiTheme="minorHAnsi" w:eastAsia="Arial" w:hAnsiTheme="minorHAnsi"/>
          <w:color w:val="000000"/>
        </w:rPr>
      </w:pPr>
    </w:p>
    <w:p w14:paraId="0881524A" w14:textId="05A14F11" w:rsidR="003B3BC9" w:rsidRPr="00155C39" w:rsidRDefault="00155C39" w:rsidP="00680136">
      <w:pPr>
        <w:tabs>
          <w:tab w:val="left" w:pos="567"/>
        </w:tabs>
        <w:jc w:val="both"/>
        <w:rPr>
          <w:rFonts w:asciiTheme="minorHAnsi" w:eastAsia="Arial" w:hAnsiTheme="minorHAnsi"/>
          <w:b/>
          <w:color w:val="000000"/>
        </w:rPr>
      </w:pPr>
      <w:r>
        <w:rPr>
          <w:rFonts w:asciiTheme="minorHAnsi" w:eastAsia="Arial" w:hAnsiTheme="minorHAnsi"/>
          <w:color w:val="000000"/>
        </w:rPr>
        <w:t>We endorse</w:t>
      </w:r>
      <w:r w:rsidR="003B3BC9" w:rsidRPr="00564BC5">
        <w:rPr>
          <w:rFonts w:asciiTheme="minorHAnsi" w:eastAsia="Arial" w:hAnsiTheme="minorHAnsi"/>
          <w:color w:val="000000"/>
        </w:rPr>
        <w:t xml:space="preserve"> the Department’s decision to include VFM within the new regulatory framework.</w:t>
      </w:r>
      <w:r w:rsidR="003B3BC9">
        <w:rPr>
          <w:rFonts w:asciiTheme="minorHAnsi" w:eastAsia="Arial" w:hAnsiTheme="minorHAnsi"/>
          <w:color w:val="000000"/>
        </w:rPr>
        <w:t xml:space="preserve"> Our 20</w:t>
      </w:r>
      <w:r w:rsidR="003F3C50">
        <w:rPr>
          <w:rFonts w:asciiTheme="minorHAnsi" w:eastAsia="Arial" w:hAnsiTheme="minorHAnsi"/>
          <w:color w:val="000000"/>
        </w:rPr>
        <w:t>2</w:t>
      </w:r>
      <w:r w:rsidR="008D0040">
        <w:rPr>
          <w:rFonts w:asciiTheme="minorHAnsi" w:eastAsia="Arial" w:hAnsiTheme="minorHAnsi"/>
          <w:color w:val="000000"/>
        </w:rPr>
        <w:t>2</w:t>
      </w:r>
      <w:r w:rsidR="003B3BC9">
        <w:rPr>
          <w:rFonts w:asciiTheme="minorHAnsi" w:eastAsia="Arial" w:hAnsiTheme="minorHAnsi"/>
          <w:color w:val="000000"/>
        </w:rPr>
        <w:t xml:space="preserve"> regulatory report states: </w:t>
      </w:r>
      <w:r w:rsidR="003B3BC9" w:rsidRPr="00155C39">
        <w:rPr>
          <w:rFonts w:asciiTheme="minorHAnsi" w:eastAsia="Arial" w:hAnsiTheme="minorHAnsi"/>
          <w:b/>
          <w:color w:val="000000"/>
        </w:rPr>
        <w:t>“</w:t>
      </w:r>
      <w:r w:rsidR="003B3BC9" w:rsidRPr="00155C39">
        <w:rPr>
          <w:rFonts w:asciiTheme="minorHAnsi" w:eastAsiaTheme="minorHAnsi" w:hAnsiTheme="minorHAnsi" w:cs="Arial"/>
          <w:b/>
        </w:rPr>
        <w:t>Choice HA has articulated and delivered a comprehensive and strategic approach to achieving value for money in meeting their organisation’s objectives.”</w:t>
      </w:r>
    </w:p>
    <w:p w14:paraId="643E9016" w14:textId="77777777" w:rsidR="003B3BC9" w:rsidRDefault="003B3BC9" w:rsidP="00680136">
      <w:pPr>
        <w:tabs>
          <w:tab w:val="left" w:pos="567"/>
        </w:tabs>
        <w:jc w:val="both"/>
        <w:rPr>
          <w:rFonts w:asciiTheme="minorHAnsi" w:eastAsia="Arial" w:hAnsiTheme="minorHAnsi"/>
          <w:color w:val="000000"/>
        </w:rPr>
      </w:pPr>
    </w:p>
    <w:p w14:paraId="4F2A8677" w14:textId="77777777" w:rsidR="003B3BC9" w:rsidRDefault="003B3BC9" w:rsidP="00680136">
      <w:pPr>
        <w:tabs>
          <w:tab w:val="left" w:pos="567"/>
        </w:tabs>
        <w:jc w:val="both"/>
        <w:rPr>
          <w:rFonts w:asciiTheme="minorHAnsi" w:eastAsia="Arial" w:hAnsiTheme="minorHAnsi"/>
          <w:color w:val="000000"/>
        </w:rPr>
      </w:pPr>
      <w:r w:rsidRPr="00564BC5">
        <w:rPr>
          <w:rFonts w:asciiTheme="minorHAnsi" w:eastAsia="Arial" w:hAnsiTheme="minorHAnsi"/>
          <w:color w:val="000000"/>
        </w:rPr>
        <w:t xml:space="preserve"> </w:t>
      </w:r>
      <w:r>
        <w:rPr>
          <w:rFonts w:asciiTheme="minorHAnsi" w:eastAsia="Arial" w:hAnsiTheme="minorHAnsi"/>
          <w:color w:val="000000"/>
        </w:rPr>
        <w:t xml:space="preserve">Our </w:t>
      </w:r>
      <w:r w:rsidRPr="00564BC5">
        <w:rPr>
          <w:rFonts w:asciiTheme="minorHAnsi" w:eastAsia="Arial" w:hAnsiTheme="minorHAnsi"/>
          <w:color w:val="000000"/>
        </w:rPr>
        <w:t xml:space="preserve">VFM strategy </w:t>
      </w:r>
      <w:r>
        <w:rPr>
          <w:rFonts w:asciiTheme="minorHAnsi" w:eastAsia="Arial" w:hAnsiTheme="minorHAnsi"/>
          <w:color w:val="000000"/>
        </w:rPr>
        <w:t xml:space="preserve">has </w:t>
      </w:r>
      <w:r w:rsidRPr="00564BC5">
        <w:rPr>
          <w:rFonts w:asciiTheme="minorHAnsi" w:eastAsia="Arial" w:hAnsiTheme="minorHAnsi"/>
          <w:color w:val="000000"/>
        </w:rPr>
        <w:t>the following aims:</w:t>
      </w:r>
    </w:p>
    <w:p w14:paraId="2D756158" w14:textId="77777777" w:rsidR="003B3BC9" w:rsidRPr="00564BC5" w:rsidRDefault="003B3BC9" w:rsidP="00680136">
      <w:pPr>
        <w:tabs>
          <w:tab w:val="left" w:pos="567"/>
        </w:tabs>
        <w:jc w:val="both"/>
        <w:rPr>
          <w:rFonts w:asciiTheme="minorHAnsi" w:eastAsia="Arial" w:hAnsiTheme="minorHAnsi"/>
          <w:color w:val="000000"/>
        </w:rPr>
      </w:pPr>
    </w:p>
    <w:p w14:paraId="0B2425D8" w14:textId="77777777" w:rsidR="003B3BC9" w:rsidRPr="00564BC5" w:rsidRDefault="003B3BC9" w:rsidP="00680136">
      <w:pPr>
        <w:pStyle w:val="ListParagraph"/>
        <w:numPr>
          <w:ilvl w:val="0"/>
          <w:numId w:val="1"/>
        </w:numPr>
        <w:tabs>
          <w:tab w:val="left" w:pos="567"/>
        </w:tabs>
        <w:ind w:right="794"/>
        <w:jc w:val="both"/>
        <w:textAlignment w:val="baseline"/>
        <w:rPr>
          <w:rFonts w:asciiTheme="minorHAnsi" w:eastAsia="Arial" w:hAnsiTheme="minorHAnsi"/>
          <w:color w:val="000000"/>
        </w:rPr>
      </w:pPr>
      <w:r w:rsidRPr="00564BC5">
        <w:rPr>
          <w:rFonts w:asciiTheme="minorHAnsi" w:eastAsia="Arial" w:hAnsiTheme="minorHAnsi"/>
          <w:color w:val="000000"/>
        </w:rPr>
        <w:t>Setting VFM targets which become the focus for enhancing delivery;</w:t>
      </w:r>
    </w:p>
    <w:p w14:paraId="04CC7DC7" w14:textId="77777777" w:rsidR="003B3BC9" w:rsidRPr="00564BC5" w:rsidRDefault="003B3BC9" w:rsidP="00680136">
      <w:pPr>
        <w:pStyle w:val="ListParagraph"/>
        <w:numPr>
          <w:ilvl w:val="0"/>
          <w:numId w:val="1"/>
        </w:numPr>
        <w:tabs>
          <w:tab w:val="left" w:pos="567"/>
        </w:tabs>
        <w:ind w:right="794"/>
        <w:jc w:val="both"/>
        <w:textAlignment w:val="baseline"/>
        <w:rPr>
          <w:rFonts w:asciiTheme="minorHAnsi" w:eastAsia="Arial" w:hAnsiTheme="minorHAnsi"/>
          <w:color w:val="000000"/>
        </w:rPr>
      </w:pPr>
      <w:r w:rsidRPr="00564BC5">
        <w:rPr>
          <w:rFonts w:asciiTheme="minorHAnsi" w:eastAsia="Arial" w:hAnsiTheme="minorHAnsi"/>
          <w:color w:val="000000"/>
        </w:rPr>
        <w:t>Establishing management systems and structures aimed at promoting VFM; and</w:t>
      </w:r>
    </w:p>
    <w:p w14:paraId="3401F883" w14:textId="77777777" w:rsidR="003B3BC9" w:rsidRDefault="003B3BC9" w:rsidP="00680136">
      <w:pPr>
        <w:pStyle w:val="ListParagraph"/>
        <w:numPr>
          <w:ilvl w:val="0"/>
          <w:numId w:val="1"/>
        </w:numPr>
        <w:tabs>
          <w:tab w:val="left" w:pos="567"/>
        </w:tabs>
        <w:ind w:right="794"/>
        <w:jc w:val="both"/>
        <w:textAlignment w:val="baseline"/>
        <w:rPr>
          <w:rFonts w:asciiTheme="minorHAnsi" w:eastAsia="Arial" w:hAnsiTheme="minorHAnsi"/>
          <w:color w:val="000000"/>
        </w:rPr>
      </w:pPr>
      <w:r w:rsidRPr="00564BC5">
        <w:rPr>
          <w:rFonts w:asciiTheme="minorHAnsi" w:eastAsia="Arial" w:hAnsiTheme="minorHAnsi"/>
          <w:color w:val="000000"/>
        </w:rPr>
        <w:t>Establishing a VFM culture at all levels of the organisation.</w:t>
      </w:r>
    </w:p>
    <w:p w14:paraId="4AA77C6D" w14:textId="77777777" w:rsidR="003B3BC9" w:rsidRDefault="003B3BC9" w:rsidP="00680136">
      <w:pPr>
        <w:tabs>
          <w:tab w:val="left" w:pos="567"/>
        </w:tabs>
        <w:ind w:right="794"/>
        <w:jc w:val="both"/>
        <w:textAlignment w:val="baseline"/>
        <w:rPr>
          <w:rFonts w:asciiTheme="minorHAnsi" w:eastAsia="Arial" w:hAnsiTheme="minorHAnsi"/>
          <w:color w:val="000000"/>
        </w:rPr>
      </w:pPr>
    </w:p>
    <w:p w14:paraId="165D3C57" w14:textId="77777777" w:rsidR="003B3BC9" w:rsidRDefault="003B3BC9" w:rsidP="00680136">
      <w:pPr>
        <w:tabs>
          <w:tab w:val="left" w:pos="567"/>
        </w:tabs>
        <w:jc w:val="both"/>
        <w:rPr>
          <w:rFonts w:asciiTheme="minorHAnsi" w:eastAsia="Arial" w:hAnsiTheme="minorHAnsi"/>
          <w:color w:val="000000"/>
        </w:rPr>
      </w:pPr>
      <w:r>
        <w:rPr>
          <w:rFonts w:asciiTheme="minorHAnsi" w:eastAsia="Arial" w:hAnsiTheme="minorHAnsi"/>
          <w:color w:val="000000"/>
        </w:rPr>
        <w:t>Our strategy set</w:t>
      </w:r>
      <w:r w:rsidRPr="00564BC5">
        <w:rPr>
          <w:rFonts w:asciiTheme="minorHAnsi" w:eastAsia="Arial" w:hAnsiTheme="minorHAnsi"/>
          <w:color w:val="000000"/>
        </w:rPr>
        <w:t xml:space="preserve"> out</w:t>
      </w:r>
      <w:r>
        <w:rPr>
          <w:rFonts w:asciiTheme="minorHAnsi" w:eastAsia="Arial" w:hAnsiTheme="minorHAnsi"/>
          <w:color w:val="000000"/>
        </w:rPr>
        <w:t>s</w:t>
      </w:r>
      <w:r w:rsidRPr="00564BC5">
        <w:rPr>
          <w:rFonts w:asciiTheme="minorHAnsi" w:eastAsia="Arial" w:hAnsiTheme="minorHAnsi"/>
          <w:color w:val="000000"/>
        </w:rPr>
        <w:t xml:space="preserve"> a number of VFM-related targets, encompassing:</w:t>
      </w:r>
    </w:p>
    <w:p w14:paraId="11E087D0" w14:textId="77777777" w:rsidR="003B3BC9" w:rsidRPr="00564BC5" w:rsidRDefault="003B3BC9" w:rsidP="00680136">
      <w:pPr>
        <w:tabs>
          <w:tab w:val="left" w:pos="567"/>
        </w:tabs>
        <w:jc w:val="both"/>
        <w:rPr>
          <w:rFonts w:asciiTheme="minorHAnsi" w:eastAsia="Arial" w:hAnsiTheme="minorHAnsi"/>
          <w:color w:val="000000"/>
        </w:rPr>
      </w:pPr>
    </w:p>
    <w:p w14:paraId="6DC6DE7F" w14:textId="77777777" w:rsidR="003B3BC9" w:rsidRPr="00564BC5" w:rsidRDefault="003B3BC9" w:rsidP="00680136">
      <w:pPr>
        <w:pStyle w:val="ListParagraph"/>
        <w:numPr>
          <w:ilvl w:val="0"/>
          <w:numId w:val="2"/>
        </w:numPr>
        <w:tabs>
          <w:tab w:val="left" w:pos="567"/>
        </w:tabs>
        <w:jc w:val="both"/>
        <w:rPr>
          <w:rFonts w:asciiTheme="minorHAnsi" w:eastAsia="Arial" w:hAnsiTheme="minorHAnsi"/>
          <w:color w:val="000000"/>
        </w:rPr>
      </w:pPr>
      <w:r w:rsidRPr="00564BC5">
        <w:rPr>
          <w:rFonts w:asciiTheme="minorHAnsi" w:eastAsia="Arial" w:hAnsiTheme="minorHAnsi"/>
          <w:color w:val="000000"/>
        </w:rPr>
        <w:t>Improvements across our key performance indicators;</w:t>
      </w:r>
    </w:p>
    <w:p w14:paraId="0152A73A" w14:textId="77777777" w:rsidR="003B3BC9" w:rsidRPr="00564BC5" w:rsidRDefault="003B3BC9" w:rsidP="00680136">
      <w:pPr>
        <w:pStyle w:val="ListParagraph"/>
        <w:numPr>
          <w:ilvl w:val="0"/>
          <w:numId w:val="2"/>
        </w:numPr>
        <w:tabs>
          <w:tab w:val="left" w:pos="567"/>
        </w:tabs>
        <w:jc w:val="both"/>
        <w:rPr>
          <w:rFonts w:asciiTheme="minorHAnsi" w:eastAsia="Arial" w:hAnsiTheme="minorHAnsi"/>
          <w:color w:val="000000"/>
        </w:rPr>
      </w:pPr>
      <w:r w:rsidRPr="00564BC5">
        <w:rPr>
          <w:rFonts w:asciiTheme="minorHAnsi" w:eastAsia="Arial" w:hAnsiTheme="minorHAnsi"/>
          <w:color w:val="000000"/>
        </w:rPr>
        <w:t>Achieving upper quartile benchmarks over the life of the plan;</w:t>
      </w:r>
    </w:p>
    <w:p w14:paraId="5AE5FD90" w14:textId="77777777" w:rsidR="003B3BC9" w:rsidRPr="00564BC5" w:rsidRDefault="003B3BC9" w:rsidP="00680136">
      <w:pPr>
        <w:pStyle w:val="ListParagraph"/>
        <w:numPr>
          <w:ilvl w:val="0"/>
          <w:numId w:val="2"/>
        </w:numPr>
        <w:tabs>
          <w:tab w:val="left" w:pos="567"/>
        </w:tabs>
        <w:jc w:val="both"/>
        <w:rPr>
          <w:rFonts w:asciiTheme="minorHAnsi" w:eastAsia="Arial" w:hAnsiTheme="minorHAnsi"/>
          <w:color w:val="000000"/>
        </w:rPr>
      </w:pPr>
      <w:r w:rsidRPr="00564BC5">
        <w:rPr>
          <w:rFonts w:asciiTheme="minorHAnsi" w:eastAsia="Arial" w:hAnsiTheme="minorHAnsi"/>
          <w:color w:val="000000"/>
        </w:rPr>
        <w:t>Seeking to deliver cash savings; and</w:t>
      </w:r>
    </w:p>
    <w:p w14:paraId="443D5E92" w14:textId="77777777" w:rsidR="003B3BC9" w:rsidRPr="00564BC5" w:rsidRDefault="003B3BC9" w:rsidP="00680136">
      <w:pPr>
        <w:pStyle w:val="ListParagraph"/>
        <w:numPr>
          <w:ilvl w:val="0"/>
          <w:numId w:val="2"/>
        </w:numPr>
        <w:tabs>
          <w:tab w:val="left" w:pos="567"/>
        </w:tabs>
        <w:jc w:val="both"/>
        <w:rPr>
          <w:rFonts w:asciiTheme="minorHAnsi" w:eastAsia="Arial" w:hAnsiTheme="minorHAnsi"/>
          <w:color w:val="000000"/>
        </w:rPr>
      </w:pPr>
      <w:r w:rsidRPr="00564BC5">
        <w:rPr>
          <w:rFonts w:asciiTheme="minorHAnsi" w:eastAsia="Arial" w:hAnsiTheme="minorHAnsi"/>
          <w:color w:val="000000"/>
        </w:rPr>
        <w:t>Focusing on the benefits derived from our assets.</w:t>
      </w:r>
    </w:p>
    <w:p w14:paraId="0161E381" w14:textId="77777777" w:rsidR="003B3BC9" w:rsidRPr="00564BC5" w:rsidRDefault="003B3BC9" w:rsidP="003B3BC9">
      <w:pPr>
        <w:ind w:left="72" w:right="72"/>
        <w:textAlignment w:val="baseline"/>
        <w:rPr>
          <w:rFonts w:asciiTheme="minorHAnsi" w:eastAsia="Arial" w:hAnsiTheme="minorHAnsi"/>
          <w:color w:val="000000"/>
        </w:rPr>
      </w:pPr>
    </w:p>
    <w:p w14:paraId="236184E3" w14:textId="77777777" w:rsidR="003B3BC9" w:rsidRPr="00564BC5" w:rsidRDefault="003B3BC9" w:rsidP="003B3BC9">
      <w:pPr>
        <w:ind w:left="72" w:right="72"/>
        <w:textAlignment w:val="baseline"/>
        <w:rPr>
          <w:rFonts w:asciiTheme="minorHAnsi" w:eastAsia="Arial" w:hAnsiTheme="minorHAnsi"/>
          <w:color w:val="000000"/>
        </w:rPr>
      </w:pPr>
      <w:r w:rsidRPr="00564BC5">
        <w:rPr>
          <w:rFonts w:asciiTheme="minorHAnsi" w:eastAsia="Arial" w:hAnsiTheme="minorHAnsi"/>
          <w:color w:val="000000"/>
        </w:rPr>
        <w:t xml:space="preserve">We </w:t>
      </w:r>
      <w:r>
        <w:rPr>
          <w:rFonts w:asciiTheme="minorHAnsi" w:eastAsia="Arial" w:hAnsiTheme="minorHAnsi"/>
          <w:color w:val="000000"/>
        </w:rPr>
        <w:t>aimed</w:t>
      </w:r>
      <w:r w:rsidRPr="00564BC5">
        <w:rPr>
          <w:rFonts w:asciiTheme="minorHAnsi" w:eastAsia="Arial" w:hAnsiTheme="minorHAnsi"/>
          <w:color w:val="000000"/>
        </w:rPr>
        <w:t xml:space="preserve"> to achieve these targets while maintaining average rents at affordable levels.</w:t>
      </w:r>
    </w:p>
    <w:p w14:paraId="6F33B4B5" w14:textId="77777777" w:rsidR="003B3BC9" w:rsidRDefault="003B3BC9" w:rsidP="003B3BC9">
      <w:pPr>
        <w:ind w:left="72" w:right="72"/>
        <w:textAlignment w:val="baseline"/>
        <w:rPr>
          <w:rFonts w:asciiTheme="minorHAnsi" w:eastAsia="Arial" w:hAnsiTheme="minorHAnsi"/>
          <w:color w:val="000000"/>
        </w:rPr>
      </w:pPr>
    </w:p>
    <w:p w14:paraId="2DA86A98" w14:textId="77777777" w:rsidR="003B3BC9" w:rsidRPr="003B3BC9" w:rsidRDefault="003B3BC9" w:rsidP="003B3BC9">
      <w:pPr>
        <w:ind w:left="72" w:right="72"/>
        <w:textAlignment w:val="baseline"/>
        <w:rPr>
          <w:rFonts w:asciiTheme="minorHAnsi" w:eastAsia="Arial" w:hAnsiTheme="minorHAnsi"/>
          <w:b/>
          <w:color w:val="000000"/>
          <w:sz w:val="28"/>
          <w:u w:val="single"/>
        </w:rPr>
      </w:pPr>
      <w:r w:rsidRPr="003B3BC9">
        <w:rPr>
          <w:rFonts w:asciiTheme="minorHAnsi" w:eastAsia="Arial" w:hAnsiTheme="minorHAnsi"/>
          <w:b/>
          <w:color w:val="000000"/>
          <w:sz w:val="28"/>
          <w:u w:val="single"/>
        </w:rPr>
        <w:t>Progress Made to Date</w:t>
      </w:r>
    </w:p>
    <w:p w14:paraId="310E1B91" w14:textId="77777777" w:rsidR="003B3BC9" w:rsidRPr="00564BC5" w:rsidRDefault="003B3BC9" w:rsidP="003B3BC9">
      <w:pPr>
        <w:ind w:left="72" w:right="72"/>
        <w:textAlignment w:val="baseline"/>
        <w:rPr>
          <w:rFonts w:asciiTheme="minorHAnsi" w:eastAsia="Arial" w:hAnsiTheme="minorHAnsi"/>
          <w:color w:val="000000"/>
        </w:rPr>
      </w:pPr>
    </w:p>
    <w:p w14:paraId="0544550F" w14:textId="77777777" w:rsidR="003B3BC9" w:rsidRDefault="003B3BC9" w:rsidP="003B3BC9">
      <w:pPr>
        <w:ind w:left="72" w:right="72"/>
        <w:textAlignment w:val="baseline"/>
        <w:rPr>
          <w:rFonts w:asciiTheme="minorHAnsi" w:eastAsia="Arial" w:hAnsiTheme="minorHAnsi"/>
          <w:color w:val="000000"/>
        </w:rPr>
      </w:pPr>
      <w:r w:rsidRPr="00564BC5">
        <w:rPr>
          <w:rFonts w:asciiTheme="minorHAnsi" w:eastAsia="Arial" w:hAnsiTheme="minorHAnsi"/>
          <w:color w:val="000000"/>
        </w:rPr>
        <w:t>The overall VFM process is continuous and we recognise that the quest to improve is never complete. However, a</w:t>
      </w:r>
      <w:r>
        <w:rPr>
          <w:rFonts w:asciiTheme="minorHAnsi" w:eastAsia="Arial" w:hAnsiTheme="minorHAnsi"/>
          <w:color w:val="000000"/>
        </w:rPr>
        <w:t>reas where we have focused our efforts are</w:t>
      </w:r>
      <w:r w:rsidRPr="00564BC5">
        <w:rPr>
          <w:rFonts w:asciiTheme="minorHAnsi" w:eastAsia="Arial" w:hAnsiTheme="minorHAnsi"/>
          <w:color w:val="000000"/>
        </w:rPr>
        <w:t>:</w:t>
      </w:r>
    </w:p>
    <w:p w14:paraId="297FC996" w14:textId="77777777" w:rsidR="003B3BC9" w:rsidRPr="00564BC5" w:rsidRDefault="003B3BC9" w:rsidP="003B3BC9">
      <w:pPr>
        <w:ind w:left="72" w:right="72"/>
        <w:textAlignment w:val="baseline"/>
        <w:rPr>
          <w:rFonts w:asciiTheme="minorHAnsi" w:eastAsia="Arial" w:hAnsiTheme="minorHAnsi"/>
          <w:color w:val="000000"/>
        </w:rPr>
      </w:pPr>
    </w:p>
    <w:p w14:paraId="26654E9E" w14:textId="77777777" w:rsidR="009C298B" w:rsidRDefault="009C298B" w:rsidP="003B3BC9">
      <w:pPr>
        <w:ind w:left="72" w:right="72"/>
        <w:textAlignment w:val="baseline"/>
        <w:rPr>
          <w:rFonts w:asciiTheme="minorHAnsi" w:eastAsia="Arial" w:hAnsiTheme="minorHAnsi"/>
          <w:color w:val="000000"/>
        </w:rPr>
      </w:pPr>
    </w:p>
    <w:tbl>
      <w:tblPr>
        <w:tblStyle w:val="TableGrid"/>
        <w:tblW w:w="0" w:type="auto"/>
        <w:tblInd w:w="72" w:type="dxa"/>
        <w:tblLook w:val="04A0" w:firstRow="1" w:lastRow="0" w:firstColumn="1" w:lastColumn="0" w:noHBand="0" w:noVBand="1"/>
      </w:tblPr>
      <w:tblGrid>
        <w:gridCol w:w="2952"/>
        <w:gridCol w:w="5992"/>
      </w:tblGrid>
      <w:tr w:rsidR="0049557D" w14:paraId="09609545" w14:textId="77777777" w:rsidTr="00857BF4">
        <w:tc>
          <w:tcPr>
            <w:tcW w:w="3013" w:type="dxa"/>
          </w:tcPr>
          <w:p w14:paraId="1785D60C" w14:textId="77777777" w:rsidR="003B3BC9" w:rsidRPr="00B00028" w:rsidRDefault="003B3BC9" w:rsidP="00857BF4">
            <w:pPr>
              <w:ind w:right="72"/>
              <w:textAlignment w:val="baseline"/>
              <w:rPr>
                <w:rFonts w:asciiTheme="minorHAnsi" w:eastAsia="Arial" w:hAnsiTheme="minorHAnsi"/>
                <w:b/>
                <w:color w:val="000000"/>
              </w:rPr>
            </w:pPr>
            <w:r w:rsidRPr="00B00028">
              <w:rPr>
                <w:rFonts w:asciiTheme="minorHAnsi" w:eastAsia="Arial" w:hAnsiTheme="minorHAnsi"/>
                <w:b/>
                <w:color w:val="000000"/>
              </w:rPr>
              <w:t>VFM Area</w:t>
            </w:r>
          </w:p>
        </w:tc>
        <w:tc>
          <w:tcPr>
            <w:tcW w:w="6157" w:type="dxa"/>
          </w:tcPr>
          <w:p w14:paraId="04714B40" w14:textId="77777777" w:rsidR="003B3BC9" w:rsidRPr="00B00028" w:rsidRDefault="003B3BC9" w:rsidP="00857BF4">
            <w:pPr>
              <w:ind w:right="72"/>
              <w:textAlignment w:val="baseline"/>
              <w:rPr>
                <w:rFonts w:asciiTheme="minorHAnsi" w:eastAsia="Arial" w:hAnsiTheme="minorHAnsi"/>
                <w:b/>
                <w:color w:val="000000"/>
              </w:rPr>
            </w:pPr>
            <w:r w:rsidRPr="00B00028">
              <w:rPr>
                <w:rFonts w:asciiTheme="minorHAnsi" w:eastAsia="Arial" w:hAnsiTheme="minorHAnsi"/>
                <w:b/>
                <w:color w:val="000000"/>
              </w:rPr>
              <w:t>Progress</w:t>
            </w:r>
          </w:p>
        </w:tc>
      </w:tr>
      <w:tr w:rsidR="0049557D" w14:paraId="28DF7B76" w14:textId="77777777" w:rsidTr="00857BF4">
        <w:tc>
          <w:tcPr>
            <w:tcW w:w="3013" w:type="dxa"/>
          </w:tcPr>
          <w:p w14:paraId="594B2253" w14:textId="77777777" w:rsidR="003B3BC9" w:rsidRDefault="003B3BC9" w:rsidP="00857BF4">
            <w:pPr>
              <w:ind w:right="72"/>
              <w:textAlignment w:val="baseline"/>
              <w:rPr>
                <w:rFonts w:asciiTheme="minorHAnsi" w:eastAsia="Arial" w:hAnsiTheme="minorHAnsi"/>
                <w:color w:val="000000"/>
              </w:rPr>
            </w:pPr>
            <w:r>
              <w:rPr>
                <w:rFonts w:asciiTheme="minorHAnsi" w:eastAsia="Arial" w:hAnsiTheme="minorHAnsi"/>
                <w:color w:val="000000"/>
              </w:rPr>
              <w:t>Improving tenant satisfaction levels</w:t>
            </w:r>
          </w:p>
        </w:tc>
        <w:tc>
          <w:tcPr>
            <w:tcW w:w="6157" w:type="dxa"/>
          </w:tcPr>
          <w:p w14:paraId="3270B513" w14:textId="031CB6DA" w:rsidR="003B3BC9" w:rsidRPr="00D25BB1" w:rsidRDefault="002A5E31" w:rsidP="003A5F24">
            <w:pPr>
              <w:ind w:right="72"/>
              <w:textAlignment w:val="baseline"/>
              <w:rPr>
                <w:rFonts w:asciiTheme="minorHAnsi" w:eastAsia="Arial" w:hAnsiTheme="minorHAnsi"/>
                <w:color w:val="FF0000"/>
              </w:rPr>
            </w:pPr>
            <w:r>
              <w:rPr>
                <w:rFonts w:asciiTheme="minorHAnsi" w:eastAsia="Arial" w:hAnsiTheme="minorHAnsi"/>
                <w:color w:val="000000"/>
              </w:rPr>
              <w:t xml:space="preserve">Tenant satisfaction levels </w:t>
            </w:r>
            <w:r w:rsidR="003F3C50">
              <w:rPr>
                <w:rFonts w:asciiTheme="minorHAnsi" w:eastAsia="Arial" w:hAnsiTheme="minorHAnsi"/>
                <w:color w:val="000000"/>
              </w:rPr>
              <w:t xml:space="preserve">reduced </w:t>
            </w:r>
            <w:r w:rsidR="003A5F24">
              <w:rPr>
                <w:rFonts w:asciiTheme="minorHAnsi" w:eastAsia="Arial" w:hAnsiTheme="minorHAnsi"/>
                <w:color w:val="000000"/>
              </w:rPr>
              <w:t>from 8</w:t>
            </w:r>
            <w:r w:rsidR="001D7559">
              <w:rPr>
                <w:rFonts w:asciiTheme="minorHAnsi" w:eastAsia="Arial" w:hAnsiTheme="minorHAnsi"/>
                <w:color w:val="000000"/>
              </w:rPr>
              <w:t>6</w:t>
            </w:r>
            <w:r w:rsidR="003A5F24">
              <w:rPr>
                <w:rFonts w:asciiTheme="minorHAnsi" w:eastAsia="Arial" w:hAnsiTheme="minorHAnsi"/>
                <w:color w:val="000000"/>
              </w:rPr>
              <w:t xml:space="preserve">% last year to </w:t>
            </w:r>
            <w:r w:rsidR="003F3C50">
              <w:rPr>
                <w:rFonts w:asciiTheme="minorHAnsi" w:eastAsia="Arial" w:hAnsiTheme="minorHAnsi"/>
                <w:color w:val="000000"/>
              </w:rPr>
              <w:t>8</w:t>
            </w:r>
            <w:r w:rsidR="001D7559">
              <w:rPr>
                <w:rFonts w:asciiTheme="minorHAnsi" w:eastAsia="Arial" w:hAnsiTheme="minorHAnsi"/>
                <w:color w:val="000000"/>
              </w:rPr>
              <w:t>4</w:t>
            </w:r>
            <w:r w:rsidR="003A5F24">
              <w:rPr>
                <w:rFonts w:asciiTheme="minorHAnsi" w:eastAsia="Arial" w:hAnsiTheme="minorHAnsi"/>
                <w:color w:val="000000"/>
              </w:rPr>
              <w:t>% at March 202</w:t>
            </w:r>
            <w:r w:rsidR="001D7559">
              <w:rPr>
                <w:rFonts w:asciiTheme="minorHAnsi" w:eastAsia="Arial" w:hAnsiTheme="minorHAnsi"/>
                <w:color w:val="000000"/>
              </w:rPr>
              <w:t>3. We are seeking to improve tenant satisfaction through a number of initiatives, including our Repairs Excellence Programme.</w:t>
            </w:r>
          </w:p>
        </w:tc>
      </w:tr>
      <w:tr w:rsidR="0049557D" w14:paraId="56453332" w14:textId="77777777" w:rsidTr="00857BF4">
        <w:tc>
          <w:tcPr>
            <w:tcW w:w="3013" w:type="dxa"/>
          </w:tcPr>
          <w:p w14:paraId="20902461" w14:textId="77777777" w:rsidR="003B3BC9" w:rsidRDefault="003B3BC9" w:rsidP="00857BF4">
            <w:pPr>
              <w:ind w:right="72"/>
              <w:textAlignment w:val="baseline"/>
              <w:rPr>
                <w:rFonts w:asciiTheme="minorHAnsi" w:eastAsia="Arial" w:hAnsiTheme="minorHAnsi"/>
                <w:color w:val="000000"/>
              </w:rPr>
            </w:pPr>
            <w:r w:rsidRPr="00564BC5">
              <w:rPr>
                <w:rFonts w:asciiTheme="minorHAnsi" w:eastAsia="Arial" w:hAnsiTheme="minorHAnsi"/>
                <w:color w:val="000000"/>
              </w:rPr>
              <w:t>Improving core operating metrics</w:t>
            </w:r>
          </w:p>
        </w:tc>
        <w:tc>
          <w:tcPr>
            <w:tcW w:w="6157" w:type="dxa"/>
          </w:tcPr>
          <w:p w14:paraId="54D04DCA" w14:textId="2405E998" w:rsidR="003B3BC9" w:rsidRDefault="003A5F24" w:rsidP="000F68AA">
            <w:pPr>
              <w:ind w:right="72"/>
              <w:textAlignment w:val="baseline"/>
              <w:rPr>
                <w:rFonts w:asciiTheme="minorHAnsi" w:eastAsia="Arial" w:hAnsiTheme="minorHAnsi"/>
                <w:color w:val="000000"/>
              </w:rPr>
            </w:pPr>
            <w:r>
              <w:rPr>
                <w:rFonts w:asciiTheme="minorHAnsi" w:eastAsia="Arial" w:hAnsiTheme="minorHAnsi"/>
                <w:color w:val="000000"/>
              </w:rPr>
              <w:t xml:space="preserve">Most operating metrics (voids, repairs performance, staff absence) </w:t>
            </w:r>
            <w:r w:rsidR="0049557D">
              <w:rPr>
                <w:rFonts w:asciiTheme="minorHAnsi" w:eastAsia="Arial" w:hAnsiTheme="minorHAnsi"/>
                <w:color w:val="000000"/>
              </w:rPr>
              <w:t xml:space="preserve">remained steady or showed </w:t>
            </w:r>
            <w:r>
              <w:rPr>
                <w:rFonts w:asciiTheme="minorHAnsi" w:eastAsia="Arial" w:hAnsiTheme="minorHAnsi"/>
                <w:color w:val="000000"/>
              </w:rPr>
              <w:t>improvements during the year</w:t>
            </w:r>
            <w:r w:rsidR="001D7559">
              <w:rPr>
                <w:rFonts w:asciiTheme="minorHAnsi" w:eastAsia="Arial" w:hAnsiTheme="minorHAnsi"/>
                <w:color w:val="000000"/>
              </w:rPr>
              <w:t>.</w:t>
            </w:r>
            <w:r w:rsidR="004D7FBC">
              <w:rPr>
                <w:rFonts w:asciiTheme="minorHAnsi" w:eastAsia="Arial" w:hAnsiTheme="minorHAnsi"/>
                <w:color w:val="000000"/>
              </w:rPr>
              <w:t xml:space="preserve"> </w:t>
            </w:r>
          </w:p>
        </w:tc>
      </w:tr>
      <w:tr w:rsidR="0049557D" w14:paraId="46BF05B6" w14:textId="77777777" w:rsidTr="00857BF4">
        <w:tc>
          <w:tcPr>
            <w:tcW w:w="3013" w:type="dxa"/>
          </w:tcPr>
          <w:p w14:paraId="37C9E5D3" w14:textId="77777777" w:rsidR="003B3BC9" w:rsidRDefault="003B3BC9" w:rsidP="00857BF4">
            <w:pPr>
              <w:ind w:right="72"/>
              <w:textAlignment w:val="baseline"/>
              <w:rPr>
                <w:rFonts w:asciiTheme="minorHAnsi" w:eastAsia="Arial" w:hAnsiTheme="minorHAnsi"/>
                <w:color w:val="000000"/>
              </w:rPr>
            </w:pPr>
            <w:r w:rsidRPr="00564BC5">
              <w:rPr>
                <w:rFonts w:asciiTheme="minorHAnsi" w:eastAsia="Arial" w:hAnsiTheme="minorHAnsi"/>
                <w:color w:val="000000"/>
              </w:rPr>
              <w:lastRenderedPageBreak/>
              <w:t>Achieving 100% compliance on health and safety</w:t>
            </w:r>
          </w:p>
        </w:tc>
        <w:tc>
          <w:tcPr>
            <w:tcW w:w="6157" w:type="dxa"/>
          </w:tcPr>
          <w:p w14:paraId="57828F44" w14:textId="5B3D961A" w:rsidR="003B3BC9" w:rsidRDefault="003A5F24" w:rsidP="002A5E31">
            <w:pPr>
              <w:ind w:right="72"/>
              <w:textAlignment w:val="baseline"/>
              <w:rPr>
                <w:rFonts w:asciiTheme="minorHAnsi" w:eastAsia="Arial" w:hAnsiTheme="minorHAnsi"/>
                <w:color w:val="000000"/>
              </w:rPr>
            </w:pPr>
            <w:r>
              <w:rPr>
                <w:rFonts w:asciiTheme="minorHAnsi" w:eastAsia="Arial" w:hAnsiTheme="minorHAnsi"/>
                <w:color w:val="000000"/>
              </w:rPr>
              <w:t xml:space="preserve">We achieved </w:t>
            </w:r>
            <w:r w:rsidR="001D7559">
              <w:rPr>
                <w:rFonts w:asciiTheme="minorHAnsi" w:eastAsia="Arial" w:hAnsiTheme="minorHAnsi"/>
                <w:color w:val="000000"/>
              </w:rPr>
              <w:t>high levels of</w:t>
            </w:r>
            <w:r>
              <w:rPr>
                <w:rFonts w:asciiTheme="minorHAnsi" w:eastAsia="Arial" w:hAnsiTheme="minorHAnsi"/>
                <w:color w:val="000000"/>
              </w:rPr>
              <w:t xml:space="preserve"> compliance through most of the year, </w:t>
            </w:r>
            <w:r w:rsidR="004D7FBC">
              <w:rPr>
                <w:rFonts w:asciiTheme="minorHAnsi" w:eastAsia="Arial" w:hAnsiTheme="minorHAnsi"/>
                <w:color w:val="000000"/>
              </w:rPr>
              <w:t>across a range of property compliance metrics.</w:t>
            </w:r>
            <w:r w:rsidR="001D7559">
              <w:rPr>
                <w:rFonts w:asciiTheme="minorHAnsi" w:eastAsia="Arial" w:hAnsiTheme="minorHAnsi"/>
                <w:color w:val="000000"/>
              </w:rPr>
              <w:t xml:space="preserve"> With 99.98% on gas servicing.</w:t>
            </w:r>
          </w:p>
        </w:tc>
      </w:tr>
      <w:tr w:rsidR="0049557D" w14:paraId="530BED6A" w14:textId="77777777" w:rsidTr="00857BF4">
        <w:tc>
          <w:tcPr>
            <w:tcW w:w="3013" w:type="dxa"/>
          </w:tcPr>
          <w:p w14:paraId="294AE113" w14:textId="77777777" w:rsidR="003B3BC9" w:rsidRDefault="003B3BC9" w:rsidP="00857BF4">
            <w:pPr>
              <w:ind w:right="72"/>
              <w:textAlignment w:val="baseline"/>
              <w:rPr>
                <w:rFonts w:asciiTheme="minorHAnsi" w:eastAsia="Arial" w:hAnsiTheme="minorHAnsi"/>
                <w:color w:val="000000"/>
              </w:rPr>
            </w:pPr>
            <w:r w:rsidRPr="00564BC5">
              <w:rPr>
                <w:rFonts w:asciiTheme="minorHAnsi" w:eastAsia="Arial" w:hAnsiTheme="minorHAnsi"/>
                <w:color w:val="000000"/>
              </w:rPr>
              <w:t>Enhancing our delivery on new build</w:t>
            </w:r>
          </w:p>
        </w:tc>
        <w:tc>
          <w:tcPr>
            <w:tcW w:w="6157" w:type="dxa"/>
          </w:tcPr>
          <w:p w14:paraId="38A95418" w14:textId="6761649E" w:rsidR="003B3BC9" w:rsidRDefault="0049557D" w:rsidP="00937455">
            <w:pPr>
              <w:ind w:right="72"/>
              <w:textAlignment w:val="baseline"/>
              <w:rPr>
                <w:rFonts w:asciiTheme="minorHAnsi" w:eastAsia="Arial" w:hAnsiTheme="minorHAnsi"/>
                <w:color w:val="000000"/>
              </w:rPr>
            </w:pPr>
            <w:r>
              <w:rPr>
                <w:rFonts w:asciiTheme="minorHAnsi" w:eastAsia="Arial" w:hAnsiTheme="minorHAnsi"/>
                <w:color w:val="000000"/>
              </w:rPr>
              <w:t>Our social housing starts in the year was 4</w:t>
            </w:r>
            <w:r w:rsidR="001D7559">
              <w:rPr>
                <w:rFonts w:asciiTheme="minorHAnsi" w:eastAsia="Arial" w:hAnsiTheme="minorHAnsi"/>
                <w:color w:val="000000"/>
              </w:rPr>
              <w:t>33</w:t>
            </w:r>
            <w:r>
              <w:rPr>
                <w:rFonts w:asciiTheme="minorHAnsi" w:eastAsia="Arial" w:hAnsiTheme="minorHAnsi"/>
                <w:color w:val="000000"/>
              </w:rPr>
              <w:t xml:space="preserve"> units, compared to </w:t>
            </w:r>
            <w:r w:rsidR="001D7559">
              <w:rPr>
                <w:rFonts w:asciiTheme="minorHAnsi" w:eastAsia="Arial" w:hAnsiTheme="minorHAnsi"/>
                <w:color w:val="000000"/>
              </w:rPr>
              <w:t>442</w:t>
            </w:r>
            <w:r>
              <w:rPr>
                <w:rFonts w:asciiTheme="minorHAnsi" w:eastAsia="Arial" w:hAnsiTheme="minorHAnsi"/>
                <w:color w:val="000000"/>
              </w:rPr>
              <w:t xml:space="preserve"> in the previous year. </w:t>
            </w:r>
            <w:r w:rsidR="003A5F24">
              <w:rPr>
                <w:rFonts w:asciiTheme="minorHAnsi" w:eastAsia="Arial" w:hAnsiTheme="minorHAnsi"/>
                <w:color w:val="000000"/>
              </w:rPr>
              <w:t>We completed</w:t>
            </w:r>
            <w:r w:rsidR="00A575F4">
              <w:rPr>
                <w:rFonts w:asciiTheme="minorHAnsi" w:eastAsia="Arial" w:hAnsiTheme="minorHAnsi"/>
                <w:color w:val="000000"/>
              </w:rPr>
              <w:t xml:space="preserve"> </w:t>
            </w:r>
            <w:r w:rsidR="004D7FBC">
              <w:rPr>
                <w:rFonts w:asciiTheme="minorHAnsi" w:eastAsia="Arial" w:hAnsiTheme="minorHAnsi"/>
                <w:color w:val="000000"/>
              </w:rPr>
              <w:t>2</w:t>
            </w:r>
            <w:r w:rsidR="001D7559">
              <w:rPr>
                <w:rFonts w:asciiTheme="minorHAnsi" w:eastAsia="Arial" w:hAnsiTheme="minorHAnsi"/>
                <w:color w:val="000000"/>
              </w:rPr>
              <w:t>35</w:t>
            </w:r>
            <w:r w:rsidR="003A5F24">
              <w:rPr>
                <w:rFonts w:asciiTheme="minorHAnsi" w:eastAsia="Arial" w:hAnsiTheme="minorHAnsi"/>
                <w:color w:val="000000"/>
              </w:rPr>
              <w:t xml:space="preserve"> new social units in 20</w:t>
            </w:r>
            <w:r w:rsidR="004D7FBC">
              <w:rPr>
                <w:rFonts w:asciiTheme="minorHAnsi" w:eastAsia="Arial" w:hAnsiTheme="minorHAnsi"/>
                <w:color w:val="000000"/>
              </w:rPr>
              <w:t>2</w:t>
            </w:r>
            <w:r>
              <w:rPr>
                <w:rFonts w:asciiTheme="minorHAnsi" w:eastAsia="Arial" w:hAnsiTheme="minorHAnsi"/>
                <w:color w:val="000000"/>
              </w:rPr>
              <w:t>1</w:t>
            </w:r>
            <w:r w:rsidR="003A5F24">
              <w:rPr>
                <w:rFonts w:asciiTheme="minorHAnsi" w:eastAsia="Arial" w:hAnsiTheme="minorHAnsi"/>
                <w:color w:val="000000"/>
              </w:rPr>
              <w:t>/2</w:t>
            </w:r>
            <w:r>
              <w:rPr>
                <w:rFonts w:asciiTheme="minorHAnsi" w:eastAsia="Arial" w:hAnsiTheme="minorHAnsi"/>
                <w:color w:val="000000"/>
              </w:rPr>
              <w:t>2</w:t>
            </w:r>
            <w:r w:rsidR="003B3BC9">
              <w:rPr>
                <w:rFonts w:asciiTheme="minorHAnsi" w:eastAsia="Arial" w:hAnsiTheme="minorHAnsi"/>
                <w:color w:val="000000"/>
              </w:rPr>
              <w:t xml:space="preserve">, as compared to </w:t>
            </w:r>
            <w:r>
              <w:rPr>
                <w:rFonts w:asciiTheme="minorHAnsi" w:eastAsia="Arial" w:hAnsiTheme="minorHAnsi"/>
                <w:color w:val="000000"/>
              </w:rPr>
              <w:t>20</w:t>
            </w:r>
            <w:r w:rsidR="001D7559">
              <w:rPr>
                <w:rFonts w:asciiTheme="minorHAnsi" w:eastAsia="Arial" w:hAnsiTheme="minorHAnsi"/>
                <w:color w:val="000000"/>
              </w:rPr>
              <w:t>1</w:t>
            </w:r>
            <w:r w:rsidR="00937455">
              <w:rPr>
                <w:rFonts w:asciiTheme="minorHAnsi" w:eastAsia="Arial" w:hAnsiTheme="minorHAnsi"/>
                <w:color w:val="000000"/>
              </w:rPr>
              <w:t xml:space="preserve"> in the previous year</w:t>
            </w:r>
            <w:r>
              <w:rPr>
                <w:rFonts w:asciiTheme="minorHAnsi" w:eastAsia="Arial" w:hAnsiTheme="minorHAnsi"/>
                <w:color w:val="000000"/>
              </w:rPr>
              <w:t>.</w:t>
            </w:r>
          </w:p>
        </w:tc>
      </w:tr>
      <w:tr w:rsidR="0049557D" w14:paraId="27878BA8" w14:textId="77777777" w:rsidTr="00857BF4">
        <w:tc>
          <w:tcPr>
            <w:tcW w:w="3013" w:type="dxa"/>
          </w:tcPr>
          <w:p w14:paraId="0B9FED67" w14:textId="77777777" w:rsidR="003B3BC9" w:rsidRDefault="003B3BC9" w:rsidP="00857BF4">
            <w:pPr>
              <w:ind w:right="72"/>
              <w:textAlignment w:val="baseline"/>
              <w:rPr>
                <w:rFonts w:asciiTheme="minorHAnsi" w:eastAsia="Arial" w:hAnsiTheme="minorHAnsi"/>
                <w:color w:val="000000"/>
              </w:rPr>
            </w:pPr>
            <w:r w:rsidRPr="00564BC5">
              <w:rPr>
                <w:rFonts w:asciiTheme="minorHAnsi" w:eastAsia="Arial" w:hAnsiTheme="minorHAnsi"/>
                <w:color w:val="000000"/>
              </w:rPr>
              <w:t>Improving returns from our assets</w:t>
            </w:r>
          </w:p>
        </w:tc>
        <w:tc>
          <w:tcPr>
            <w:tcW w:w="6157" w:type="dxa"/>
          </w:tcPr>
          <w:p w14:paraId="11633F7E" w14:textId="18B8B3F6" w:rsidR="003B3BC9" w:rsidRDefault="003B3BC9" w:rsidP="003A5F24">
            <w:pPr>
              <w:ind w:right="72"/>
              <w:textAlignment w:val="baseline"/>
              <w:rPr>
                <w:rFonts w:asciiTheme="minorHAnsi" w:eastAsia="Arial" w:hAnsiTheme="minorHAnsi"/>
                <w:color w:val="000000"/>
              </w:rPr>
            </w:pPr>
            <w:r>
              <w:rPr>
                <w:rFonts w:asciiTheme="minorHAnsi" w:eastAsia="Arial" w:hAnsiTheme="minorHAnsi"/>
                <w:color w:val="000000"/>
              </w:rPr>
              <w:t xml:space="preserve">Our return on assets </w:t>
            </w:r>
            <w:r w:rsidR="004D7FBC">
              <w:rPr>
                <w:rFonts w:asciiTheme="minorHAnsi" w:eastAsia="Arial" w:hAnsiTheme="minorHAnsi"/>
                <w:color w:val="000000"/>
              </w:rPr>
              <w:t xml:space="preserve"> was </w:t>
            </w:r>
            <w:r w:rsidR="001D7559">
              <w:rPr>
                <w:rFonts w:asciiTheme="minorHAnsi" w:eastAsia="Arial" w:hAnsiTheme="minorHAnsi"/>
                <w:color w:val="000000"/>
              </w:rPr>
              <w:t>2.31</w:t>
            </w:r>
            <w:r w:rsidR="00076CF9">
              <w:rPr>
                <w:rFonts w:asciiTheme="minorHAnsi" w:eastAsia="Arial" w:hAnsiTheme="minorHAnsi"/>
                <w:color w:val="000000"/>
              </w:rPr>
              <w:t xml:space="preserve">%, </w:t>
            </w:r>
            <w:r w:rsidR="001D7559">
              <w:rPr>
                <w:rFonts w:asciiTheme="minorHAnsi" w:eastAsia="Arial" w:hAnsiTheme="minorHAnsi"/>
                <w:color w:val="000000"/>
              </w:rPr>
              <w:t>a considerable improvement on the previous year.</w:t>
            </w:r>
          </w:p>
        </w:tc>
      </w:tr>
    </w:tbl>
    <w:p w14:paraId="16057F6E" w14:textId="77777777" w:rsidR="003B3BC9" w:rsidRDefault="003B3BC9" w:rsidP="003B3BC9">
      <w:pPr>
        <w:ind w:left="72" w:right="72"/>
        <w:textAlignment w:val="baseline"/>
        <w:rPr>
          <w:rFonts w:asciiTheme="minorHAnsi" w:eastAsia="Arial" w:hAnsiTheme="minorHAnsi"/>
          <w:color w:val="000000"/>
        </w:rPr>
      </w:pPr>
    </w:p>
    <w:p w14:paraId="6BF658CE" w14:textId="2991CCF4" w:rsidR="0001526E" w:rsidRDefault="00923518" w:rsidP="003B3BC9">
      <w:pPr>
        <w:ind w:left="72" w:right="72"/>
        <w:textAlignment w:val="baseline"/>
        <w:rPr>
          <w:rFonts w:asciiTheme="minorHAnsi" w:eastAsia="Arial" w:hAnsiTheme="minorHAnsi"/>
          <w:color w:val="000000"/>
        </w:rPr>
      </w:pPr>
      <w:r>
        <w:rPr>
          <w:rFonts w:asciiTheme="minorHAnsi" w:eastAsia="Arial" w:hAnsiTheme="minorHAnsi"/>
          <w:color w:val="000000"/>
        </w:rPr>
        <w:t xml:space="preserve">We </w:t>
      </w:r>
      <w:r w:rsidR="008A3DB7">
        <w:rPr>
          <w:rFonts w:asciiTheme="minorHAnsi" w:eastAsia="Arial" w:hAnsiTheme="minorHAnsi"/>
          <w:color w:val="000000"/>
        </w:rPr>
        <w:t xml:space="preserve">have also engaged with the </w:t>
      </w:r>
      <w:r>
        <w:rPr>
          <w:rFonts w:asciiTheme="minorHAnsi" w:eastAsia="Arial" w:hAnsiTheme="minorHAnsi"/>
          <w:color w:val="000000"/>
        </w:rPr>
        <w:t xml:space="preserve">Sector Scorecard benchmarking exercise for the </w:t>
      </w:r>
      <w:r w:rsidR="008A3DB7">
        <w:rPr>
          <w:rFonts w:asciiTheme="minorHAnsi" w:eastAsia="Arial" w:hAnsiTheme="minorHAnsi"/>
          <w:color w:val="000000"/>
        </w:rPr>
        <w:t xml:space="preserve">past </w:t>
      </w:r>
      <w:r w:rsidR="001D7559">
        <w:rPr>
          <w:rFonts w:asciiTheme="minorHAnsi" w:eastAsia="Arial" w:hAnsiTheme="minorHAnsi"/>
          <w:color w:val="000000"/>
        </w:rPr>
        <w:t>6</w:t>
      </w:r>
      <w:r w:rsidR="008A3DB7">
        <w:rPr>
          <w:rFonts w:asciiTheme="minorHAnsi" w:eastAsia="Arial" w:hAnsiTheme="minorHAnsi"/>
          <w:color w:val="000000"/>
        </w:rPr>
        <w:t xml:space="preserve"> years.  Our performance against </w:t>
      </w:r>
      <w:r w:rsidR="00A575F4">
        <w:rPr>
          <w:rFonts w:asciiTheme="minorHAnsi" w:eastAsia="Arial" w:hAnsiTheme="minorHAnsi"/>
          <w:color w:val="000000"/>
        </w:rPr>
        <w:t>key metrics is presented below:</w:t>
      </w:r>
    </w:p>
    <w:p w14:paraId="64B9B95D" w14:textId="77777777" w:rsidR="009F6B50" w:rsidRDefault="009F6B50" w:rsidP="007A06D0">
      <w:pPr>
        <w:ind w:right="72"/>
        <w:textAlignment w:val="baseline"/>
        <w:rPr>
          <w:rFonts w:asciiTheme="minorHAnsi" w:eastAsia="Arial" w:hAnsiTheme="minorHAnsi"/>
          <w:color w:val="000000"/>
        </w:rPr>
      </w:pPr>
    </w:p>
    <w:p w14:paraId="44091F98" w14:textId="7045D2A7" w:rsidR="009F6B50" w:rsidRDefault="009F6B50" w:rsidP="003B3BC9">
      <w:pPr>
        <w:ind w:left="72" w:right="72"/>
        <w:textAlignment w:val="baseline"/>
        <w:rPr>
          <w:rFonts w:asciiTheme="minorHAnsi" w:eastAsia="Arial" w:hAnsiTheme="minorHAnsi"/>
          <w:color w:val="000000"/>
        </w:rPr>
      </w:pPr>
    </w:p>
    <w:p w14:paraId="2D0DD8E5" w14:textId="482C9CBD" w:rsidR="00923518" w:rsidRDefault="00D1781F" w:rsidP="00566AE8">
      <w:pPr>
        <w:ind w:right="72"/>
        <w:textAlignment w:val="baseline"/>
        <w:rPr>
          <w:rFonts w:asciiTheme="minorHAnsi" w:eastAsia="Arial" w:hAnsiTheme="minorHAnsi"/>
          <w:color w:val="000000"/>
        </w:rPr>
      </w:pPr>
      <w:r w:rsidRPr="00D1781F">
        <w:rPr>
          <w:noProof/>
        </w:rPr>
        <w:drawing>
          <wp:inline distT="0" distB="0" distL="0" distR="0" wp14:anchorId="3B33DE48" wp14:editId="2CA44969">
            <wp:extent cx="5731510" cy="2447290"/>
            <wp:effectExtent l="0" t="0" r="2540" b="0"/>
            <wp:docPr id="1226350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447290"/>
                    </a:xfrm>
                    <a:prstGeom prst="rect">
                      <a:avLst/>
                    </a:prstGeom>
                    <a:noFill/>
                    <a:ln>
                      <a:noFill/>
                    </a:ln>
                  </pic:spPr>
                </pic:pic>
              </a:graphicData>
            </a:graphic>
          </wp:inline>
        </w:drawing>
      </w:r>
    </w:p>
    <w:p w14:paraId="07469865" w14:textId="77777777" w:rsidR="00923518" w:rsidRDefault="00923518" w:rsidP="00566AE8">
      <w:pPr>
        <w:ind w:right="72"/>
        <w:textAlignment w:val="baseline"/>
        <w:rPr>
          <w:rFonts w:asciiTheme="minorHAnsi" w:eastAsia="Arial" w:hAnsiTheme="minorHAnsi"/>
          <w:color w:val="000000"/>
        </w:rPr>
      </w:pPr>
    </w:p>
    <w:p w14:paraId="3A510DF1" w14:textId="77777777" w:rsidR="006D0019" w:rsidRDefault="006D0019" w:rsidP="003B3BC9">
      <w:pPr>
        <w:ind w:left="72" w:right="72"/>
        <w:textAlignment w:val="baseline"/>
        <w:rPr>
          <w:rFonts w:asciiTheme="minorHAnsi" w:eastAsia="Arial" w:hAnsiTheme="minorHAnsi"/>
          <w:color w:val="000000"/>
        </w:rPr>
      </w:pPr>
      <w:r>
        <w:rPr>
          <w:rFonts w:asciiTheme="minorHAnsi" w:eastAsia="Arial" w:hAnsiTheme="minorHAnsi"/>
          <w:color w:val="000000"/>
        </w:rPr>
        <w:t>A number of trends are apparent from this analysis:</w:t>
      </w:r>
    </w:p>
    <w:p w14:paraId="5290B9AE" w14:textId="77777777" w:rsidR="006D0019" w:rsidRDefault="006D0019" w:rsidP="003B3BC9">
      <w:pPr>
        <w:ind w:left="72" w:right="72"/>
        <w:textAlignment w:val="baseline"/>
        <w:rPr>
          <w:rFonts w:asciiTheme="minorHAnsi" w:eastAsia="Arial" w:hAnsiTheme="minorHAnsi"/>
          <w:color w:val="000000"/>
        </w:rPr>
      </w:pPr>
    </w:p>
    <w:p w14:paraId="15302DF7" w14:textId="60FACC04" w:rsidR="006D0019" w:rsidRDefault="00A575F4"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We </w:t>
      </w:r>
      <w:r w:rsidR="004D7FBC">
        <w:rPr>
          <w:rFonts w:asciiTheme="minorHAnsi" w:eastAsia="Arial" w:hAnsiTheme="minorHAnsi"/>
          <w:color w:val="000000"/>
        </w:rPr>
        <w:t xml:space="preserve">have </w:t>
      </w:r>
      <w:r w:rsidR="00577595">
        <w:rPr>
          <w:rFonts w:asciiTheme="minorHAnsi" w:eastAsia="Arial" w:hAnsiTheme="minorHAnsi"/>
          <w:color w:val="000000"/>
        </w:rPr>
        <w:t>improved</w:t>
      </w:r>
      <w:r w:rsidR="004D7FBC">
        <w:rPr>
          <w:rFonts w:asciiTheme="minorHAnsi" w:eastAsia="Arial" w:hAnsiTheme="minorHAnsi"/>
          <w:color w:val="000000"/>
        </w:rPr>
        <w:t xml:space="preserve"> our</w:t>
      </w:r>
      <w:r>
        <w:rPr>
          <w:rFonts w:asciiTheme="minorHAnsi" w:eastAsia="Arial" w:hAnsiTheme="minorHAnsi"/>
          <w:color w:val="000000"/>
        </w:rPr>
        <w:t xml:space="preserve"> operating margin </w:t>
      </w:r>
      <w:r w:rsidR="004D7FBC">
        <w:rPr>
          <w:rFonts w:asciiTheme="minorHAnsi" w:eastAsia="Arial" w:hAnsiTheme="minorHAnsi"/>
          <w:color w:val="000000"/>
        </w:rPr>
        <w:t xml:space="preserve">despite challenges posed by </w:t>
      </w:r>
      <w:r w:rsidR="00577595">
        <w:rPr>
          <w:rFonts w:asciiTheme="minorHAnsi" w:eastAsia="Arial" w:hAnsiTheme="minorHAnsi"/>
          <w:color w:val="000000"/>
        </w:rPr>
        <w:t>adverse economic conditions</w:t>
      </w:r>
      <w:r>
        <w:rPr>
          <w:rFonts w:asciiTheme="minorHAnsi" w:eastAsia="Arial" w:hAnsiTheme="minorHAnsi"/>
          <w:color w:val="000000"/>
        </w:rPr>
        <w:t>.</w:t>
      </w:r>
    </w:p>
    <w:p w14:paraId="746029D4" w14:textId="689461E8" w:rsidR="00A575F4" w:rsidRDefault="00A575F4"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The interest cover ratio </w:t>
      </w:r>
      <w:r w:rsidR="00B93B33">
        <w:rPr>
          <w:rFonts w:asciiTheme="minorHAnsi" w:eastAsia="Arial" w:hAnsiTheme="minorHAnsi"/>
          <w:color w:val="000000"/>
        </w:rPr>
        <w:t xml:space="preserve">has </w:t>
      </w:r>
      <w:r w:rsidR="00577595">
        <w:rPr>
          <w:rFonts w:asciiTheme="minorHAnsi" w:eastAsia="Arial" w:hAnsiTheme="minorHAnsi"/>
          <w:color w:val="000000"/>
        </w:rPr>
        <w:t xml:space="preserve">improved </w:t>
      </w:r>
      <w:r w:rsidR="00B93B33">
        <w:rPr>
          <w:rFonts w:asciiTheme="minorHAnsi" w:eastAsia="Arial" w:hAnsiTheme="minorHAnsi"/>
          <w:color w:val="000000"/>
        </w:rPr>
        <w:t xml:space="preserve">because our major repairs expenditure was </w:t>
      </w:r>
      <w:r w:rsidR="00577595">
        <w:rPr>
          <w:rFonts w:asciiTheme="minorHAnsi" w:eastAsia="Arial" w:hAnsiTheme="minorHAnsi"/>
          <w:color w:val="000000"/>
        </w:rPr>
        <w:t>lower</w:t>
      </w:r>
      <w:r w:rsidR="00B93B33">
        <w:rPr>
          <w:rFonts w:asciiTheme="minorHAnsi" w:eastAsia="Arial" w:hAnsiTheme="minorHAnsi"/>
          <w:color w:val="000000"/>
        </w:rPr>
        <w:t xml:space="preserve"> in the year.</w:t>
      </w:r>
    </w:p>
    <w:p w14:paraId="2831A6B3" w14:textId="12622E5D" w:rsidR="00A575F4" w:rsidRDefault="00A575F4"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Units developed</w:t>
      </w:r>
      <w:r w:rsidR="00F138A7">
        <w:rPr>
          <w:rFonts w:asciiTheme="minorHAnsi" w:eastAsia="Arial" w:hAnsiTheme="minorHAnsi"/>
          <w:color w:val="000000"/>
        </w:rPr>
        <w:t xml:space="preserve"> as a percentage of units owned has </w:t>
      </w:r>
      <w:r w:rsidR="00577595">
        <w:rPr>
          <w:rFonts w:asciiTheme="minorHAnsi" w:eastAsia="Arial" w:hAnsiTheme="minorHAnsi"/>
          <w:color w:val="000000"/>
        </w:rPr>
        <w:t>increased as our new development strategy is having a positive impact</w:t>
      </w:r>
      <w:r>
        <w:rPr>
          <w:rFonts w:asciiTheme="minorHAnsi" w:eastAsia="Arial" w:hAnsiTheme="minorHAnsi"/>
          <w:color w:val="000000"/>
        </w:rPr>
        <w:t>.</w:t>
      </w:r>
    </w:p>
    <w:p w14:paraId="13D4DE19" w14:textId="5580C846" w:rsidR="00A575F4" w:rsidRDefault="00A575F4"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Gearing </w:t>
      </w:r>
      <w:r w:rsidR="00577595">
        <w:rPr>
          <w:rFonts w:asciiTheme="minorHAnsi" w:eastAsia="Arial" w:hAnsiTheme="minorHAnsi"/>
          <w:color w:val="000000"/>
        </w:rPr>
        <w:t>reduced slightly due to efficient treasury management</w:t>
      </w:r>
      <w:r>
        <w:rPr>
          <w:rFonts w:asciiTheme="minorHAnsi" w:eastAsia="Arial" w:hAnsiTheme="minorHAnsi"/>
          <w:color w:val="000000"/>
        </w:rPr>
        <w:t>.</w:t>
      </w:r>
    </w:p>
    <w:p w14:paraId="685919FB" w14:textId="556399F1" w:rsidR="00937455" w:rsidRPr="00937455" w:rsidRDefault="00937455"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Tenant satisfaction has </w:t>
      </w:r>
      <w:r w:rsidR="00F138A7">
        <w:rPr>
          <w:rFonts w:asciiTheme="minorHAnsi" w:eastAsia="Arial" w:hAnsiTheme="minorHAnsi"/>
          <w:color w:val="000000"/>
        </w:rPr>
        <w:t xml:space="preserve">reduced by </w:t>
      </w:r>
      <w:r w:rsidR="00577595">
        <w:rPr>
          <w:rFonts w:asciiTheme="minorHAnsi" w:eastAsia="Arial" w:hAnsiTheme="minorHAnsi"/>
          <w:color w:val="000000"/>
        </w:rPr>
        <w:t xml:space="preserve">two </w:t>
      </w:r>
      <w:r w:rsidR="00F138A7">
        <w:rPr>
          <w:rFonts w:asciiTheme="minorHAnsi" w:eastAsia="Arial" w:hAnsiTheme="minorHAnsi"/>
          <w:color w:val="000000"/>
        </w:rPr>
        <w:t>point</w:t>
      </w:r>
      <w:r w:rsidR="00577595">
        <w:rPr>
          <w:rFonts w:asciiTheme="minorHAnsi" w:eastAsia="Arial" w:hAnsiTheme="minorHAnsi"/>
          <w:color w:val="000000"/>
        </w:rPr>
        <w:t>s</w:t>
      </w:r>
      <w:r w:rsidR="00F138A7">
        <w:rPr>
          <w:rFonts w:asciiTheme="minorHAnsi" w:eastAsia="Arial" w:hAnsiTheme="minorHAnsi"/>
          <w:color w:val="000000"/>
        </w:rPr>
        <w:t xml:space="preserve"> to 8</w:t>
      </w:r>
      <w:r w:rsidR="00577595">
        <w:rPr>
          <w:rFonts w:asciiTheme="minorHAnsi" w:eastAsia="Arial" w:hAnsiTheme="minorHAnsi"/>
          <w:color w:val="000000"/>
        </w:rPr>
        <w:t>4</w:t>
      </w:r>
      <w:r w:rsidR="00F138A7">
        <w:rPr>
          <w:rFonts w:asciiTheme="minorHAnsi" w:eastAsia="Arial" w:hAnsiTheme="minorHAnsi"/>
          <w:color w:val="000000"/>
        </w:rPr>
        <w:t>%,</w:t>
      </w:r>
      <w:r w:rsidR="001D7559">
        <w:rPr>
          <w:rFonts w:asciiTheme="minorHAnsi" w:eastAsia="Arial" w:hAnsiTheme="minorHAnsi"/>
          <w:color w:val="000000"/>
        </w:rPr>
        <w:t xml:space="preserve"> and we are taking steps to improve this metric.</w:t>
      </w:r>
    </w:p>
    <w:p w14:paraId="3D46952A" w14:textId="00333E1C" w:rsidR="00A575F4" w:rsidRDefault="00A575F4"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We have </w:t>
      </w:r>
      <w:r w:rsidR="001D7559">
        <w:rPr>
          <w:rFonts w:asciiTheme="minorHAnsi" w:eastAsia="Arial" w:hAnsiTheme="minorHAnsi"/>
          <w:color w:val="000000"/>
        </w:rPr>
        <w:t>increased</w:t>
      </w:r>
      <w:r w:rsidR="00577595">
        <w:rPr>
          <w:rFonts w:asciiTheme="minorHAnsi" w:eastAsia="Arial" w:hAnsiTheme="minorHAnsi"/>
          <w:color w:val="000000"/>
        </w:rPr>
        <w:t xml:space="preserve"> </w:t>
      </w:r>
      <w:r w:rsidR="00F138A7">
        <w:rPr>
          <w:rFonts w:asciiTheme="minorHAnsi" w:eastAsia="Arial" w:hAnsiTheme="minorHAnsi"/>
          <w:color w:val="000000"/>
        </w:rPr>
        <w:t xml:space="preserve">our community investment </w:t>
      </w:r>
      <w:r w:rsidR="00B93B33">
        <w:rPr>
          <w:rFonts w:asciiTheme="minorHAnsi" w:eastAsia="Arial" w:hAnsiTheme="minorHAnsi"/>
          <w:color w:val="000000"/>
        </w:rPr>
        <w:t>to</w:t>
      </w:r>
      <w:r w:rsidR="00F138A7">
        <w:rPr>
          <w:rFonts w:asciiTheme="minorHAnsi" w:eastAsia="Arial" w:hAnsiTheme="minorHAnsi"/>
          <w:color w:val="000000"/>
        </w:rPr>
        <w:t xml:space="preserve"> £</w:t>
      </w:r>
      <w:r w:rsidR="001D7559" w:rsidRPr="001D7559">
        <w:rPr>
          <w:rFonts w:asciiTheme="minorHAnsi" w:eastAsia="Arial" w:hAnsiTheme="minorHAnsi"/>
        </w:rPr>
        <w:t>715k</w:t>
      </w:r>
      <w:r w:rsidR="00B93B33" w:rsidRPr="001D7559">
        <w:rPr>
          <w:rFonts w:asciiTheme="minorHAnsi" w:eastAsia="Arial" w:hAnsiTheme="minorHAnsi"/>
        </w:rPr>
        <w:t xml:space="preserve"> </w:t>
      </w:r>
      <w:r w:rsidR="00995F6B">
        <w:rPr>
          <w:rFonts w:asciiTheme="minorHAnsi" w:eastAsia="Arial" w:hAnsiTheme="minorHAnsi"/>
          <w:color w:val="FF0000"/>
        </w:rPr>
        <w:t xml:space="preserve"> </w:t>
      </w:r>
      <w:r w:rsidR="00B93B33">
        <w:rPr>
          <w:rFonts w:asciiTheme="minorHAnsi" w:eastAsia="Arial" w:hAnsiTheme="minorHAnsi"/>
          <w:color w:val="000000"/>
        </w:rPr>
        <w:t>(was £</w:t>
      </w:r>
      <w:r w:rsidR="00577595">
        <w:rPr>
          <w:rFonts w:asciiTheme="minorHAnsi" w:eastAsia="Arial" w:hAnsiTheme="minorHAnsi"/>
          <w:color w:val="000000"/>
        </w:rPr>
        <w:t>428</w:t>
      </w:r>
      <w:r w:rsidR="00B93B33">
        <w:rPr>
          <w:rFonts w:asciiTheme="minorHAnsi" w:eastAsia="Arial" w:hAnsiTheme="minorHAnsi"/>
          <w:color w:val="000000"/>
        </w:rPr>
        <w:t>k last year)</w:t>
      </w:r>
      <w:r w:rsidR="001D7559">
        <w:rPr>
          <w:rFonts w:asciiTheme="minorHAnsi" w:eastAsia="Arial" w:hAnsiTheme="minorHAnsi"/>
          <w:color w:val="000000"/>
        </w:rPr>
        <w:t xml:space="preserve"> as we increased our tenant support fund in reco</w:t>
      </w:r>
      <w:r w:rsidR="00FE49DB">
        <w:rPr>
          <w:rFonts w:asciiTheme="minorHAnsi" w:eastAsia="Arial" w:hAnsiTheme="minorHAnsi"/>
          <w:color w:val="000000"/>
        </w:rPr>
        <w:t>gnition of the cost of living challenges faced by many tenants.</w:t>
      </w:r>
    </w:p>
    <w:p w14:paraId="57D54413" w14:textId="654DFE8C" w:rsidR="00A575F4" w:rsidRDefault="00F138A7"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Our unit costs h</w:t>
      </w:r>
      <w:r w:rsidR="00B93B33">
        <w:rPr>
          <w:rFonts w:asciiTheme="minorHAnsi" w:eastAsia="Arial" w:hAnsiTheme="minorHAnsi"/>
          <w:color w:val="000000"/>
        </w:rPr>
        <w:t xml:space="preserve">ave </w:t>
      </w:r>
      <w:r w:rsidR="00577595">
        <w:rPr>
          <w:rFonts w:asciiTheme="minorHAnsi" w:eastAsia="Arial" w:hAnsiTheme="minorHAnsi"/>
          <w:color w:val="000000"/>
        </w:rPr>
        <w:t>reduced</w:t>
      </w:r>
      <w:r w:rsidR="00B93B33">
        <w:rPr>
          <w:rFonts w:asciiTheme="minorHAnsi" w:eastAsia="Arial" w:hAnsiTheme="minorHAnsi"/>
          <w:color w:val="000000"/>
        </w:rPr>
        <w:t xml:space="preserve"> to £3</w:t>
      </w:r>
      <w:r w:rsidR="00577595">
        <w:rPr>
          <w:rFonts w:asciiTheme="minorHAnsi" w:eastAsia="Arial" w:hAnsiTheme="minorHAnsi"/>
          <w:color w:val="000000"/>
        </w:rPr>
        <w:t xml:space="preserve">,397 </w:t>
      </w:r>
      <w:r w:rsidR="00B93B33">
        <w:rPr>
          <w:rFonts w:asciiTheme="minorHAnsi" w:eastAsia="Arial" w:hAnsiTheme="minorHAnsi"/>
          <w:color w:val="000000"/>
        </w:rPr>
        <w:t>in spite of increasing inflation</w:t>
      </w:r>
      <w:r w:rsidR="00577595">
        <w:rPr>
          <w:rFonts w:asciiTheme="minorHAnsi" w:eastAsia="Arial" w:hAnsiTheme="minorHAnsi"/>
          <w:color w:val="000000"/>
        </w:rPr>
        <w:t xml:space="preserve"> and is now at 86% of the FY18 level</w:t>
      </w:r>
      <w:r w:rsidR="00B93B33">
        <w:rPr>
          <w:rFonts w:asciiTheme="minorHAnsi" w:eastAsia="Arial" w:hAnsiTheme="minorHAnsi"/>
          <w:color w:val="000000"/>
        </w:rPr>
        <w:t>.</w:t>
      </w:r>
    </w:p>
    <w:p w14:paraId="2BA1623F" w14:textId="74C2F180" w:rsidR="006D0019" w:rsidRDefault="00A575F4"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Our ROCE metric has </w:t>
      </w:r>
      <w:r w:rsidR="00B93B33">
        <w:rPr>
          <w:rFonts w:asciiTheme="minorHAnsi" w:eastAsia="Arial" w:hAnsiTheme="minorHAnsi"/>
          <w:color w:val="000000"/>
        </w:rPr>
        <w:t>increased</w:t>
      </w:r>
      <w:r w:rsidR="00F138A7">
        <w:rPr>
          <w:rFonts w:asciiTheme="minorHAnsi" w:eastAsia="Arial" w:hAnsiTheme="minorHAnsi"/>
          <w:color w:val="000000"/>
        </w:rPr>
        <w:t xml:space="preserve"> </w:t>
      </w:r>
      <w:r w:rsidR="00577595">
        <w:rPr>
          <w:rFonts w:asciiTheme="minorHAnsi" w:eastAsia="Arial" w:hAnsiTheme="minorHAnsi"/>
          <w:color w:val="000000"/>
        </w:rPr>
        <w:t>due to improved margin performance in the year</w:t>
      </w:r>
      <w:r>
        <w:rPr>
          <w:rFonts w:asciiTheme="minorHAnsi" w:eastAsia="Arial" w:hAnsiTheme="minorHAnsi"/>
          <w:color w:val="000000"/>
        </w:rPr>
        <w:t>.</w:t>
      </w:r>
    </w:p>
    <w:p w14:paraId="6942E074" w14:textId="4B5EB02F" w:rsidR="00937455" w:rsidRDefault="00937455"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Rent collected</w:t>
      </w:r>
      <w:r w:rsidR="00B93B33">
        <w:rPr>
          <w:rFonts w:asciiTheme="minorHAnsi" w:eastAsia="Arial" w:hAnsiTheme="minorHAnsi"/>
          <w:color w:val="000000"/>
        </w:rPr>
        <w:t xml:space="preserve"> </w:t>
      </w:r>
      <w:r>
        <w:rPr>
          <w:rFonts w:asciiTheme="minorHAnsi" w:eastAsia="Arial" w:hAnsiTheme="minorHAnsi"/>
          <w:color w:val="000000"/>
        </w:rPr>
        <w:t xml:space="preserve">and occupancy metrics have </w:t>
      </w:r>
      <w:r w:rsidR="00453C15">
        <w:rPr>
          <w:rFonts w:asciiTheme="minorHAnsi" w:eastAsia="Arial" w:hAnsiTheme="minorHAnsi"/>
          <w:color w:val="000000"/>
        </w:rPr>
        <w:t>remained steady</w:t>
      </w:r>
      <w:r w:rsidR="00ED0741">
        <w:rPr>
          <w:rFonts w:asciiTheme="minorHAnsi" w:eastAsia="Arial" w:hAnsiTheme="minorHAnsi"/>
          <w:color w:val="000000"/>
        </w:rPr>
        <w:t>.</w:t>
      </w:r>
    </w:p>
    <w:p w14:paraId="45A9AC9D" w14:textId="44C0F526" w:rsidR="006D0019" w:rsidRDefault="00A575F4" w:rsidP="00680136">
      <w:pPr>
        <w:pStyle w:val="ListParagraph"/>
        <w:numPr>
          <w:ilvl w:val="0"/>
          <w:numId w:val="6"/>
        </w:numPr>
        <w:ind w:right="72"/>
        <w:jc w:val="both"/>
        <w:textAlignment w:val="baseline"/>
        <w:rPr>
          <w:rFonts w:asciiTheme="minorHAnsi" w:eastAsia="Arial" w:hAnsiTheme="minorHAnsi"/>
          <w:color w:val="000000"/>
        </w:rPr>
      </w:pPr>
      <w:r>
        <w:rPr>
          <w:rFonts w:asciiTheme="minorHAnsi" w:eastAsia="Arial" w:hAnsiTheme="minorHAnsi"/>
          <w:color w:val="000000"/>
        </w:rPr>
        <w:t>The ratio of responsive to planned maintenanc</w:t>
      </w:r>
      <w:r w:rsidR="00CF7398">
        <w:rPr>
          <w:rFonts w:asciiTheme="minorHAnsi" w:eastAsia="Arial" w:hAnsiTheme="minorHAnsi"/>
          <w:color w:val="000000"/>
        </w:rPr>
        <w:t xml:space="preserve">e </w:t>
      </w:r>
      <w:r w:rsidR="00577595">
        <w:rPr>
          <w:rFonts w:asciiTheme="minorHAnsi" w:eastAsia="Arial" w:hAnsiTheme="minorHAnsi"/>
          <w:color w:val="000000"/>
        </w:rPr>
        <w:t>has increased due to lower spend on major repairs in the year</w:t>
      </w:r>
      <w:r w:rsidR="00CF7398">
        <w:rPr>
          <w:rFonts w:asciiTheme="minorHAnsi" w:eastAsia="Arial" w:hAnsiTheme="minorHAnsi"/>
          <w:color w:val="000000"/>
        </w:rPr>
        <w:t>.</w:t>
      </w:r>
    </w:p>
    <w:p w14:paraId="194FE126" w14:textId="77777777" w:rsidR="00F8695F" w:rsidRDefault="00F8695F" w:rsidP="00680136">
      <w:pPr>
        <w:ind w:right="72"/>
        <w:jc w:val="both"/>
        <w:textAlignment w:val="baseline"/>
        <w:rPr>
          <w:rFonts w:asciiTheme="minorHAnsi" w:eastAsia="Arial" w:hAnsiTheme="minorHAnsi"/>
          <w:color w:val="000000"/>
        </w:rPr>
      </w:pPr>
    </w:p>
    <w:p w14:paraId="287D27AD" w14:textId="4EFA634F" w:rsidR="00F8695F" w:rsidRDefault="00F8695F" w:rsidP="00680136">
      <w:pPr>
        <w:ind w:right="72"/>
        <w:jc w:val="both"/>
        <w:textAlignment w:val="baseline"/>
        <w:rPr>
          <w:rFonts w:asciiTheme="minorHAnsi" w:eastAsia="Arial" w:hAnsiTheme="minorHAnsi"/>
          <w:color w:val="000000"/>
        </w:rPr>
      </w:pPr>
      <w:r>
        <w:rPr>
          <w:rFonts w:asciiTheme="minorHAnsi" w:eastAsia="Arial" w:hAnsiTheme="minorHAnsi"/>
          <w:color w:val="000000"/>
        </w:rPr>
        <w:t xml:space="preserve">The sector scorecard system </w:t>
      </w:r>
      <w:r w:rsidR="00C341E2">
        <w:rPr>
          <w:rFonts w:asciiTheme="minorHAnsi" w:eastAsia="Arial" w:hAnsiTheme="minorHAnsi"/>
          <w:color w:val="000000"/>
        </w:rPr>
        <w:t xml:space="preserve">has </w:t>
      </w:r>
      <w:r>
        <w:rPr>
          <w:rFonts w:asciiTheme="minorHAnsi" w:eastAsia="Arial" w:hAnsiTheme="minorHAnsi"/>
          <w:color w:val="000000"/>
        </w:rPr>
        <w:t>enable</w:t>
      </w:r>
      <w:r w:rsidR="00C341E2">
        <w:rPr>
          <w:rFonts w:asciiTheme="minorHAnsi" w:eastAsia="Arial" w:hAnsiTheme="minorHAnsi"/>
          <w:color w:val="000000"/>
        </w:rPr>
        <w:t>d</w:t>
      </w:r>
      <w:r>
        <w:rPr>
          <w:rFonts w:asciiTheme="minorHAnsi" w:eastAsia="Arial" w:hAnsiTheme="minorHAnsi"/>
          <w:color w:val="000000"/>
        </w:rPr>
        <w:t xml:space="preserve"> us to compare these results with </w:t>
      </w:r>
      <w:r w:rsidR="00C341E2">
        <w:rPr>
          <w:rFonts w:asciiTheme="minorHAnsi" w:eastAsia="Arial" w:hAnsiTheme="minorHAnsi"/>
          <w:color w:val="000000"/>
        </w:rPr>
        <w:t>local and national</w:t>
      </w:r>
      <w:r>
        <w:rPr>
          <w:rFonts w:asciiTheme="minorHAnsi" w:eastAsia="Arial" w:hAnsiTheme="minorHAnsi"/>
          <w:color w:val="000000"/>
        </w:rPr>
        <w:t xml:space="preserve"> p</w:t>
      </w:r>
      <w:r w:rsidR="00C341E2">
        <w:rPr>
          <w:rFonts w:asciiTheme="minorHAnsi" w:eastAsia="Arial" w:hAnsiTheme="minorHAnsi"/>
          <w:color w:val="000000"/>
        </w:rPr>
        <w:t>eers and we use this dat</w:t>
      </w:r>
      <w:r w:rsidR="00367F13">
        <w:rPr>
          <w:rFonts w:asciiTheme="minorHAnsi" w:eastAsia="Arial" w:hAnsiTheme="minorHAnsi"/>
          <w:color w:val="000000"/>
        </w:rPr>
        <w:t>a</w:t>
      </w:r>
      <w:r w:rsidR="00C341E2">
        <w:rPr>
          <w:rFonts w:asciiTheme="minorHAnsi" w:eastAsia="Arial" w:hAnsiTheme="minorHAnsi"/>
          <w:color w:val="000000"/>
        </w:rPr>
        <w:t xml:space="preserve"> to inform our strategic planning.</w:t>
      </w:r>
    </w:p>
    <w:p w14:paraId="6467EC84" w14:textId="77777777" w:rsidR="00F8695F" w:rsidRDefault="00F8695F" w:rsidP="00680136">
      <w:pPr>
        <w:ind w:left="72" w:right="72"/>
        <w:jc w:val="both"/>
        <w:textAlignment w:val="baseline"/>
        <w:rPr>
          <w:rFonts w:asciiTheme="minorHAnsi" w:eastAsia="Arial" w:hAnsiTheme="minorHAnsi"/>
          <w:color w:val="000000"/>
        </w:rPr>
      </w:pPr>
    </w:p>
    <w:p w14:paraId="01E96789" w14:textId="0A939899" w:rsidR="003B3BC9" w:rsidRDefault="003B3BC9" w:rsidP="00680136">
      <w:pPr>
        <w:ind w:left="72" w:right="72"/>
        <w:jc w:val="both"/>
        <w:textAlignment w:val="baseline"/>
        <w:rPr>
          <w:rFonts w:asciiTheme="minorHAnsi" w:eastAsia="Arial" w:hAnsiTheme="minorHAnsi"/>
          <w:color w:val="000000"/>
        </w:rPr>
      </w:pPr>
      <w:r>
        <w:rPr>
          <w:rFonts w:asciiTheme="minorHAnsi" w:eastAsia="Arial" w:hAnsiTheme="minorHAnsi"/>
          <w:color w:val="000000"/>
        </w:rPr>
        <w:t>In delivering these improvements we have taken forward a number of key initiative</w:t>
      </w:r>
      <w:r w:rsidR="001510A4">
        <w:rPr>
          <w:rFonts w:asciiTheme="minorHAnsi" w:eastAsia="Arial" w:hAnsiTheme="minorHAnsi"/>
          <w:color w:val="000000"/>
        </w:rPr>
        <w:t>s</w:t>
      </w:r>
    </w:p>
    <w:p w14:paraId="7235B59A" w14:textId="77777777" w:rsidR="003B3BC9" w:rsidRDefault="003B3BC9" w:rsidP="003B3BC9">
      <w:pPr>
        <w:ind w:left="72" w:right="72"/>
        <w:textAlignment w:val="baseline"/>
        <w:rPr>
          <w:rFonts w:asciiTheme="minorHAnsi" w:eastAsia="Arial" w:hAnsiTheme="minorHAnsi"/>
          <w:color w:val="000000"/>
        </w:rPr>
      </w:pPr>
    </w:p>
    <w:p w14:paraId="4F90DAC0" w14:textId="7E48876B" w:rsidR="007C7B6D" w:rsidRDefault="00995F6B" w:rsidP="00680136">
      <w:pPr>
        <w:pStyle w:val="ListParagraph"/>
        <w:numPr>
          <w:ilvl w:val="0"/>
          <w:numId w:val="12"/>
        </w:numPr>
        <w:contextualSpacing w:val="0"/>
        <w:jc w:val="both"/>
        <w:rPr>
          <w:rFonts w:asciiTheme="minorHAnsi" w:eastAsia="Arial" w:hAnsiTheme="minorHAnsi"/>
          <w:color w:val="000000"/>
        </w:rPr>
      </w:pPr>
      <w:r>
        <w:rPr>
          <w:rFonts w:asciiTheme="minorHAnsi" w:eastAsia="Arial" w:hAnsiTheme="minorHAnsi"/>
          <w:color w:val="000000"/>
        </w:rPr>
        <w:t xml:space="preserve">We commenced a Repairs Excellence programme which will deliver enhanced tenant </w:t>
      </w:r>
      <w:r w:rsidR="004863EC">
        <w:rPr>
          <w:rFonts w:asciiTheme="minorHAnsi" w:eastAsia="Arial" w:hAnsiTheme="minorHAnsi"/>
          <w:color w:val="000000"/>
        </w:rPr>
        <w:t>service combined with cost efficiencies and will include introduction of streamlined appointment booking and tenant self-service via our portal.</w:t>
      </w:r>
    </w:p>
    <w:p w14:paraId="301479EE" w14:textId="37B71395" w:rsidR="00A865D5" w:rsidRDefault="00A865D5" w:rsidP="00680136">
      <w:pPr>
        <w:pStyle w:val="ListParagraph"/>
        <w:numPr>
          <w:ilvl w:val="0"/>
          <w:numId w:val="12"/>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Choice Services as our in-house maintenance contractor </w:t>
      </w:r>
      <w:r w:rsidR="00ED46BB">
        <w:rPr>
          <w:rFonts w:asciiTheme="minorHAnsi" w:eastAsia="Arial" w:hAnsiTheme="minorHAnsi"/>
          <w:color w:val="000000"/>
        </w:rPr>
        <w:t xml:space="preserve">continued to grow its business and </w:t>
      </w:r>
      <w:r>
        <w:rPr>
          <w:rFonts w:asciiTheme="minorHAnsi" w:eastAsia="Arial" w:hAnsiTheme="minorHAnsi"/>
          <w:color w:val="000000"/>
        </w:rPr>
        <w:t xml:space="preserve">generated </w:t>
      </w:r>
      <w:r w:rsidR="001B3C17">
        <w:rPr>
          <w:rFonts w:asciiTheme="minorHAnsi" w:eastAsia="Arial" w:hAnsiTheme="minorHAnsi"/>
          <w:color w:val="000000"/>
        </w:rPr>
        <w:t xml:space="preserve">profits of </w:t>
      </w:r>
      <w:r>
        <w:rPr>
          <w:rFonts w:asciiTheme="minorHAnsi" w:eastAsia="Arial" w:hAnsiTheme="minorHAnsi"/>
          <w:color w:val="000000"/>
        </w:rPr>
        <w:t>£</w:t>
      </w:r>
      <w:r w:rsidR="004863EC">
        <w:rPr>
          <w:rFonts w:asciiTheme="minorHAnsi" w:eastAsia="Arial" w:hAnsiTheme="minorHAnsi"/>
          <w:color w:val="000000"/>
        </w:rPr>
        <w:t>518</w:t>
      </w:r>
      <w:r>
        <w:rPr>
          <w:rFonts w:asciiTheme="minorHAnsi" w:eastAsia="Arial" w:hAnsiTheme="minorHAnsi"/>
          <w:color w:val="000000"/>
        </w:rPr>
        <w:t>k.</w:t>
      </w:r>
    </w:p>
    <w:p w14:paraId="1C9664B2" w14:textId="42BFF309" w:rsidR="00A865D5" w:rsidRDefault="00A865D5" w:rsidP="00680136">
      <w:pPr>
        <w:pStyle w:val="ListParagraph"/>
        <w:numPr>
          <w:ilvl w:val="0"/>
          <w:numId w:val="12"/>
        </w:numPr>
        <w:ind w:right="72"/>
        <w:jc w:val="both"/>
        <w:textAlignment w:val="baseline"/>
        <w:rPr>
          <w:rFonts w:asciiTheme="minorHAnsi" w:eastAsia="Arial" w:hAnsiTheme="minorHAnsi"/>
          <w:color w:val="000000"/>
        </w:rPr>
      </w:pPr>
      <w:r>
        <w:rPr>
          <w:rFonts w:asciiTheme="minorHAnsi" w:eastAsia="Arial" w:hAnsiTheme="minorHAnsi"/>
          <w:color w:val="000000"/>
        </w:rPr>
        <w:t>Maple &amp; May, our PRS brand grew turnover and generated a profit of £</w:t>
      </w:r>
      <w:r w:rsidR="001B3C17">
        <w:rPr>
          <w:rFonts w:asciiTheme="minorHAnsi" w:eastAsia="Arial" w:hAnsiTheme="minorHAnsi"/>
          <w:color w:val="000000"/>
        </w:rPr>
        <w:t>1.</w:t>
      </w:r>
      <w:r w:rsidR="004863EC">
        <w:rPr>
          <w:rFonts w:asciiTheme="minorHAnsi" w:eastAsia="Arial" w:hAnsiTheme="minorHAnsi"/>
          <w:color w:val="000000"/>
        </w:rPr>
        <w:t>3</w:t>
      </w:r>
      <w:r w:rsidR="001B3C17">
        <w:rPr>
          <w:rFonts w:asciiTheme="minorHAnsi" w:eastAsia="Arial" w:hAnsiTheme="minorHAnsi"/>
          <w:color w:val="000000"/>
        </w:rPr>
        <w:t>m.</w:t>
      </w:r>
      <w:r>
        <w:rPr>
          <w:rFonts w:asciiTheme="minorHAnsi" w:eastAsia="Arial" w:hAnsiTheme="minorHAnsi"/>
          <w:color w:val="000000"/>
        </w:rPr>
        <w:t xml:space="preserve"> </w:t>
      </w:r>
    </w:p>
    <w:p w14:paraId="50A1D435" w14:textId="76DFB63B" w:rsidR="00A865D5" w:rsidRDefault="00A865D5" w:rsidP="00680136">
      <w:pPr>
        <w:pStyle w:val="ListParagraph"/>
        <w:numPr>
          <w:ilvl w:val="0"/>
          <w:numId w:val="12"/>
        </w:numPr>
        <w:ind w:right="72"/>
        <w:jc w:val="both"/>
        <w:textAlignment w:val="baseline"/>
        <w:rPr>
          <w:rFonts w:asciiTheme="minorHAnsi" w:eastAsia="Arial" w:hAnsiTheme="minorHAnsi"/>
          <w:color w:val="000000"/>
        </w:rPr>
      </w:pPr>
      <w:r>
        <w:rPr>
          <w:rFonts w:asciiTheme="minorHAnsi" w:eastAsia="Arial" w:hAnsiTheme="minorHAnsi"/>
          <w:color w:val="000000"/>
        </w:rPr>
        <w:t>We continue to operate our new rent policy which will improve fairness, affordability, sustainability and transparency in our rents. We applied</w:t>
      </w:r>
      <w:r w:rsidR="001B3C17">
        <w:rPr>
          <w:rFonts w:asciiTheme="minorHAnsi" w:eastAsia="Arial" w:hAnsiTheme="minorHAnsi"/>
          <w:color w:val="000000"/>
        </w:rPr>
        <w:t xml:space="preserve"> an inflation-based rent increase in April 202</w:t>
      </w:r>
      <w:r w:rsidR="004863EC">
        <w:rPr>
          <w:rFonts w:asciiTheme="minorHAnsi" w:eastAsia="Arial" w:hAnsiTheme="minorHAnsi"/>
          <w:color w:val="000000"/>
        </w:rPr>
        <w:t>2</w:t>
      </w:r>
      <w:r w:rsidR="001B3C17">
        <w:rPr>
          <w:rFonts w:asciiTheme="minorHAnsi" w:eastAsia="Arial" w:hAnsiTheme="minorHAnsi"/>
          <w:color w:val="000000"/>
        </w:rPr>
        <w:t>.</w:t>
      </w:r>
    </w:p>
    <w:p w14:paraId="6B56E365" w14:textId="69ED510F" w:rsidR="00A865D5" w:rsidRDefault="00A865D5" w:rsidP="00680136">
      <w:pPr>
        <w:pStyle w:val="ListParagraph"/>
        <w:numPr>
          <w:ilvl w:val="0"/>
          <w:numId w:val="12"/>
        </w:numPr>
        <w:ind w:right="72"/>
        <w:jc w:val="both"/>
        <w:textAlignment w:val="baseline"/>
        <w:rPr>
          <w:rFonts w:asciiTheme="minorHAnsi" w:eastAsia="Arial" w:hAnsiTheme="minorHAnsi"/>
          <w:color w:val="000000"/>
        </w:rPr>
      </w:pPr>
      <w:r>
        <w:rPr>
          <w:rFonts w:asciiTheme="minorHAnsi" w:eastAsia="Arial" w:hAnsiTheme="minorHAnsi"/>
          <w:color w:val="000000"/>
        </w:rPr>
        <w:t xml:space="preserve">We </w:t>
      </w:r>
      <w:r w:rsidR="00ED46BB">
        <w:rPr>
          <w:rFonts w:asciiTheme="minorHAnsi" w:eastAsia="Arial" w:hAnsiTheme="minorHAnsi"/>
          <w:color w:val="000000"/>
        </w:rPr>
        <w:t xml:space="preserve">continued to roll out our funding strategy and </w:t>
      </w:r>
      <w:r w:rsidR="004863EC">
        <w:rPr>
          <w:rFonts w:asciiTheme="minorHAnsi" w:eastAsia="Arial" w:hAnsiTheme="minorHAnsi"/>
          <w:color w:val="000000"/>
        </w:rPr>
        <w:t>drew down</w:t>
      </w:r>
      <w:r w:rsidR="00ED0741">
        <w:rPr>
          <w:rFonts w:asciiTheme="minorHAnsi" w:eastAsia="Arial" w:hAnsiTheme="minorHAnsi"/>
          <w:color w:val="000000"/>
        </w:rPr>
        <w:t xml:space="preserve"> </w:t>
      </w:r>
      <w:r w:rsidR="00ED46BB">
        <w:rPr>
          <w:rFonts w:asciiTheme="minorHAnsi" w:eastAsia="Arial" w:hAnsiTheme="minorHAnsi"/>
          <w:color w:val="000000"/>
        </w:rPr>
        <w:t xml:space="preserve">an </w:t>
      </w:r>
      <w:r w:rsidR="00ED0741">
        <w:rPr>
          <w:rFonts w:asciiTheme="minorHAnsi" w:eastAsia="Arial" w:hAnsiTheme="minorHAnsi"/>
          <w:color w:val="000000"/>
        </w:rPr>
        <w:t xml:space="preserve">additional £50m in </w:t>
      </w:r>
      <w:r w:rsidR="00ED46BB">
        <w:rPr>
          <w:rFonts w:asciiTheme="minorHAnsi" w:eastAsia="Arial" w:hAnsiTheme="minorHAnsi"/>
          <w:color w:val="000000"/>
        </w:rPr>
        <w:t>long term fixed rate debt from THFC on very competitive terms</w:t>
      </w:r>
      <w:r w:rsidR="00ED0741">
        <w:rPr>
          <w:rFonts w:asciiTheme="minorHAnsi" w:eastAsia="Arial" w:hAnsiTheme="minorHAnsi"/>
          <w:color w:val="000000"/>
        </w:rPr>
        <w:t>.</w:t>
      </w:r>
    </w:p>
    <w:p w14:paraId="7F5E9A57" w14:textId="77777777" w:rsidR="00A865D5" w:rsidRDefault="00A865D5" w:rsidP="00680136">
      <w:pPr>
        <w:pStyle w:val="ListParagraph"/>
        <w:numPr>
          <w:ilvl w:val="0"/>
          <w:numId w:val="12"/>
        </w:numPr>
        <w:ind w:right="72"/>
        <w:jc w:val="both"/>
        <w:textAlignment w:val="baseline"/>
        <w:rPr>
          <w:rFonts w:asciiTheme="minorHAnsi" w:eastAsia="Arial" w:hAnsiTheme="minorHAnsi"/>
          <w:color w:val="000000"/>
        </w:rPr>
      </w:pPr>
      <w:r>
        <w:rPr>
          <w:rFonts w:asciiTheme="minorHAnsi" w:eastAsia="Arial" w:hAnsiTheme="minorHAnsi"/>
          <w:color w:val="000000"/>
        </w:rPr>
        <w:t>We pa</w:t>
      </w:r>
      <w:r w:rsidR="00C341E2">
        <w:rPr>
          <w:rFonts w:asciiTheme="minorHAnsi" w:eastAsia="Arial" w:hAnsiTheme="minorHAnsi"/>
          <w:color w:val="000000"/>
        </w:rPr>
        <w:t xml:space="preserve">rticipated in the </w:t>
      </w:r>
      <w:r>
        <w:rPr>
          <w:rFonts w:asciiTheme="minorHAnsi" w:eastAsia="Arial" w:hAnsiTheme="minorHAnsi"/>
          <w:color w:val="000000"/>
        </w:rPr>
        <w:t>Sector Scorecard benchmarking.</w:t>
      </w:r>
    </w:p>
    <w:p w14:paraId="6B53F729" w14:textId="108B763C" w:rsidR="00A865D5" w:rsidRPr="001B3C17" w:rsidRDefault="00A865D5" w:rsidP="00FE7A19">
      <w:pPr>
        <w:pStyle w:val="ListParagraph"/>
        <w:numPr>
          <w:ilvl w:val="0"/>
          <w:numId w:val="12"/>
        </w:numPr>
        <w:ind w:right="72"/>
        <w:jc w:val="both"/>
        <w:textAlignment w:val="baseline"/>
        <w:rPr>
          <w:rFonts w:asciiTheme="minorHAnsi" w:eastAsia="Arial" w:hAnsiTheme="minorHAnsi"/>
          <w:color w:val="000000"/>
        </w:rPr>
      </w:pPr>
      <w:r w:rsidRPr="001B3C17">
        <w:rPr>
          <w:rFonts w:asciiTheme="minorHAnsi" w:eastAsia="Arial" w:hAnsiTheme="minorHAnsi"/>
          <w:color w:val="000000"/>
        </w:rPr>
        <w:t xml:space="preserve">We have </w:t>
      </w:r>
      <w:r w:rsidR="00F17890" w:rsidRPr="001B3C17">
        <w:rPr>
          <w:rFonts w:asciiTheme="minorHAnsi" w:eastAsia="Arial" w:hAnsiTheme="minorHAnsi"/>
          <w:color w:val="000000"/>
        </w:rPr>
        <w:t>continue</w:t>
      </w:r>
      <w:r w:rsidR="00E95B21" w:rsidRPr="001B3C17">
        <w:rPr>
          <w:rFonts w:asciiTheme="minorHAnsi" w:eastAsia="Arial" w:hAnsiTheme="minorHAnsi"/>
          <w:color w:val="000000"/>
        </w:rPr>
        <w:t>d</w:t>
      </w:r>
      <w:r w:rsidR="005E19B1" w:rsidRPr="001B3C17">
        <w:rPr>
          <w:rFonts w:asciiTheme="minorHAnsi" w:eastAsia="Arial" w:hAnsiTheme="minorHAnsi"/>
          <w:color w:val="000000"/>
        </w:rPr>
        <w:t xml:space="preserve"> </w:t>
      </w:r>
      <w:r w:rsidR="00F17890" w:rsidRPr="001B3C17">
        <w:rPr>
          <w:rFonts w:asciiTheme="minorHAnsi" w:eastAsia="Arial" w:hAnsiTheme="minorHAnsi"/>
          <w:color w:val="000000"/>
        </w:rPr>
        <w:t xml:space="preserve">to </w:t>
      </w:r>
      <w:r w:rsidR="005E19B1" w:rsidRPr="001B3C17">
        <w:rPr>
          <w:rFonts w:asciiTheme="minorHAnsi" w:eastAsia="Arial" w:hAnsiTheme="minorHAnsi"/>
          <w:color w:val="000000"/>
        </w:rPr>
        <w:t xml:space="preserve">seek to </w:t>
      </w:r>
      <w:r w:rsidRPr="001B3C17">
        <w:rPr>
          <w:rFonts w:asciiTheme="minorHAnsi" w:eastAsia="Arial" w:hAnsiTheme="minorHAnsi"/>
          <w:color w:val="000000"/>
        </w:rPr>
        <w:t xml:space="preserve">improve the efficiency and effectiveness of our </w:t>
      </w:r>
      <w:r w:rsidR="00F17890" w:rsidRPr="001B3C17">
        <w:rPr>
          <w:rFonts w:asciiTheme="minorHAnsi" w:eastAsia="Arial" w:hAnsiTheme="minorHAnsi"/>
          <w:color w:val="000000"/>
        </w:rPr>
        <w:t>P</w:t>
      </w:r>
      <w:r w:rsidRPr="001B3C17">
        <w:rPr>
          <w:rFonts w:asciiTheme="minorHAnsi" w:eastAsia="Arial" w:hAnsiTheme="minorHAnsi"/>
          <w:color w:val="000000"/>
        </w:rPr>
        <w:t>rocurement function</w:t>
      </w:r>
      <w:r w:rsidR="00C16D1D" w:rsidRPr="001B3C17">
        <w:rPr>
          <w:rFonts w:asciiTheme="minorHAnsi" w:eastAsia="Arial" w:hAnsiTheme="minorHAnsi"/>
          <w:color w:val="000000"/>
        </w:rPr>
        <w:t>.</w:t>
      </w:r>
    </w:p>
    <w:p w14:paraId="2F313CB3" w14:textId="14B480DB" w:rsidR="00ED46BB" w:rsidRPr="002C4378" w:rsidRDefault="0079033A" w:rsidP="00FE7A19">
      <w:pPr>
        <w:pStyle w:val="ListParagraph"/>
        <w:numPr>
          <w:ilvl w:val="0"/>
          <w:numId w:val="12"/>
        </w:numPr>
        <w:contextualSpacing w:val="0"/>
        <w:jc w:val="both"/>
        <w:rPr>
          <w:rFonts w:eastAsia="Times New Roman"/>
        </w:rPr>
      </w:pPr>
      <w:r w:rsidRPr="002C4378">
        <w:rPr>
          <w:rFonts w:eastAsia="Times New Roman"/>
        </w:rPr>
        <w:t>140</w:t>
      </w:r>
      <w:r w:rsidR="00ED46BB" w:rsidRPr="002C4378">
        <w:rPr>
          <w:rFonts w:eastAsia="Times New Roman"/>
        </w:rPr>
        <w:t xml:space="preserve"> procurement exercises have </w:t>
      </w:r>
      <w:r w:rsidR="002C4378" w:rsidRPr="002C4378">
        <w:rPr>
          <w:rFonts w:eastAsia="Times New Roman"/>
        </w:rPr>
        <w:t>been undertaken</w:t>
      </w:r>
      <w:r w:rsidR="00ED46BB" w:rsidRPr="002C4378">
        <w:rPr>
          <w:rFonts w:eastAsia="Times New Roman"/>
        </w:rPr>
        <w:t xml:space="preserve"> </w:t>
      </w:r>
      <w:r w:rsidRPr="002C4378">
        <w:rPr>
          <w:rFonts w:eastAsia="Times New Roman"/>
        </w:rPr>
        <w:t>from July</w:t>
      </w:r>
      <w:r w:rsidR="00ED46BB" w:rsidRPr="002C4378">
        <w:rPr>
          <w:rFonts w:eastAsia="Times New Roman"/>
        </w:rPr>
        <w:t xml:space="preserve"> 2022 to </w:t>
      </w:r>
      <w:r w:rsidRPr="002C4378">
        <w:rPr>
          <w:rFonts w:eastAsia="Times New Roman"/>
        </w:rPr>
        <w:t>July 2023</w:t>
      </w:r>
      <w:r w:rsidR="00ED46BB" w:rsidRPr="002C4378">
        <w:rPr>
          <w:rFonts w:eastAsia="Times New Roman"/>
        </w:rPr>
        <w:t xml:space="preserve"> across different sourcing routes</w:t>
      </w:r>
      <w:r w:rsidRPr="002C4378">
        <w:rPr>
          <w:rFonts w:eastAsia="Times New Roman"/>
        </w:rPr>
        <w:t xml:space="preserve"> from quotation plans, tender competitions etc. </w:t>
      </w:r>
      <w:r w:rsidR="002C4378" w:rsidRPr="002C4378">
        <w:rPr>
          <w:rFonts w:eastAsia="Times New Roman"/>
        </w:rPr>
        <w:t>There have been 16 direct awards made from July 2022 to date vs 21 in the previous period.</w:t>
      </w:r>
    </w:p>
    <w:p w14:paraId="74019D52" w14:textId="2D94D967" w:rsidR="008E3A7A" w:rsidRPr="008E3A7A" w:rsidRDefault="008E3A7A" w:rsidP="00FE7A19">
      <w:pPr>
        <w:pStyle w:val="ListParagraph"/>
        <w:numPr>
          <w:ilvl w:val="0"/>
          <w:numId w:val="12"/>
        </w:numPr>
        <w:jc w:val="both"/>
        <w:rPr>
          <w:rFonts w:eastAsia="Times New Roman"/>
        </w:rPr>
      </w:pPr>
      <w:r w:rsidRPr="008E3A7A">
        <w:rPr>
          <w:rFonts w:eastAsia="Times New Roman"/>
        </w:rPr>
        <w:t>Procurement has engaged with other directorates in respect of the Repairs Excellence Pro</w:t>
      </w:r>
      <w:r w:rsidR="004863EC">
        <w:rPr>
          <w:rFonts w:eastAsia="Times New Roman"/>
        </w:rPr>
        <w:t>gramme</w:t>
      </w:r>
      <w:r w:rsidRPr="008E3A7A">
        <w:rPr>
          <w:rFonts w:eastAsia="Times New Roman"/>
        </w:rPr>
        <w:t>, supporting the delivery of key project milestones</w:t>
      </w:r>
      <w:r w:rsidR="00FE7A19">
        <w:rPr>
          <w:rFonts w:eastAsia="Times New Roman"/>
        </w:rPr>
        <w:t xml:space="preserve"> and will include the development of a best practice framework regarding </w:t>
      </w:r>
      <w:r w:rsidR="004863EC">
        <w:rPr>
          <w:rFonts w:eastAsia="Times New Roman"/>
        </w:rPr>
        <w:t>c</w:t>
      </w:r>
      <w:r w:rsidR="00FE7A19">
        <w:rPr>
          <w:rFonts w:eastAsia="Times New Roman"/>
        </w:rPr>
        <w:t xml:space="preserve">ontract </w:t>
      </w:r>
      <w:r w:rsidR="004863EC">
        <w:rPr>
          <w:rFonts w:eastAsia="Times New Roman"/>
        </w:rPr>
        <w:t>m</w:t>
      </w:r>
      <w:r w:rsidR="00FE7A19">
        <w:rPr>
          <w:rFonts w:eastAsia="Times New Roman"/>
        </w:rPr>
        <w:t>anagement to be deployed across Choice.</w:t>
      </w:r>
    </w:p>
    <w:p w14:paraId="0EF27E0A" w14:textId="7C00A317" w:rsidR="00ED46BB" w:rsidRPr="00FE7A19" w:rsidRDefault="00ED46BB" w:rsidP="00FE7A19">
      <w:pPr>
        <w:pStyle w:val="ListParagraph"/>
        <w:numPr>
          <w:ilvl w:val="0"/>
          <w:numId w:val="12"/>
        </w:numPr>
        <w:contextualSpacing w:val="0"/>
        <w:jc w:val="both"/>
        <w:rPr>
          <w:rFonts w:eastAsia="Times New Roman"/>
        </w:rPr>
      </w:pPr>
      <w:r w:rsidRPr="00FE7A19">
        <w:rPr>
          <w:rFonts w:eastAsia="Times New Roman"/>
        </w:rPr>
        <w:t>Scoring social value requirements</w:t>
      </w:r>
      <w:r w:rsidR="00FE7A19" w:rsidRPr="00FE7A19">
        <w:rPr>
          <w:rFonts w:eastAsia="Times New Roman"/>
        </w:rPr>
        <w:t xml:space="preserve"> was </w:t>
      </w:r>
      <w:r w:rsidRPr="00FE7A19">
        <w:rPr>
          <w:rFonts w:eastAsia="Times New Roman"/>
        </w:rPr>
        <w:t>rolled out</w:t>
      </w:r>
      <w:r w:rsidR="003D11C3" w:rsidRPr="00FE7A19">
        <w:rPr>
          <w:rFonts w:eastAsia="Times New Roman"/>
        </w:rPr>
        <w:t xml:space="preserve"> </w:t>
      </w:r>
      <w:r w:rsidRPr="00FE7A19">
        <w:rPr>
          <w:rFonts w:eastAsia="Times New Roman"/>
        </w:rPr>
        <w:t xml:space="preserve">from June 2022 </w:t>
      </w:r>
      <w:r w:rsidR="00FE7A19" w:rsidRPr="00FE7A19">
        <w:rPr>
          <w:rFonts w:eastAsia="Times New Roman"/>
        </w:rPr>
        <w:t>and is being included</w:t>
      </w:r>
      <w:r w:rsidRPr="00FE7A19">
        <w:rPr>
          <w:rFonts w:eastAsia="Times New Roman"/>
        </w:rPr>
        <w:t xml:space="preserve"> </w:t>
      </w:r>
      <w:r w:rsidR="00FE7A19" w:rsidRPr="00FE7A19">
        <w:rPr>
          <w:rFonts w:eastAsia="Times New Roman"/>
        </w:rPr>
        <w:t>for</w:t>
      </w:r>
      <w:r w:rsidRPr="00FE7A19">
        <w:rPr>
          <w:rFonts w:eastAsia="Times New Roman"/>
        </w:rPr>
        <w:t xml:space="preserve"> </w:t>
      </w:r>
      <w:r w:rsidR="003D11C3" w:rsidRPr="00FE7A19">
        <w:rPr>
          <w:rFonts w:eastAsia="Times New Roman"/>
        </w:rPr>
        <w:t>all above threshold competitions. C</w:t>
      </w:r>
      <w:r w:rsidRPr="00FE7A19">
        <w:rPr>
          <w:rFonts w:eastAsia="Times New Roman"/>
        </w:rPr>
        <w:t>ompetition</w:t>
      </w:r>
      <w:r w:rsidR="003D11C3" w:rsidRPr="00FE7A19">
        <w:rPr>
          <w:rFonts w:eastAsia="Times New Roman"/>
        </w:rPr>
        <w:t>s where social value scoring w</w:t>
      </w:r>
      <w:r w:rsidR="008E3A7A" w:rsidRPr="00FE7A19">
        <w:rPr>
          <w:rFonts w:eastAsia="Times New Roman"/>
        </w:rPr>
        <w:t xml:space="preserve">as included were window and gutter cleaning, scaffolding, </w:t>
      </w:r>
      <w:r w:rsidR="007E7E1E" w:rsidRPr="00FE7A19">
        <w:rPr>
          <w:rFonts w:eastAsia="Times New Roman"/>
        </w:rPr>
        <w:t xml:space="preserve"> </w:t>
      </w:r>
      <w:r w:rsidR="00FE7A19" w:rsidRPr="00FE7A19">
        <w:rPr>
          <w:rFonts w:eastAsia="Times New Roman"/>
        </w:rPr>
        <w:t>Lisburn and Enniskillen Land Design</w:t>
      </w:r>
      <w:r w:rsidR="00FE7A19">
        <w:rPr>
          <w:rFonts w:eastAsia="Times New Roman"/>
        </w:rPr>
        <w:t xml:space="preserve"> </w:t>
      </w:r>
      <w:r w:rsidR="00FE7A19" w:rsidRPr="00FE7A19">
        <w:rPr>
          <w:rFonts w:eastAsia="Times New Roman"/>
        </w:rPr>
        <w:t>and Build project</w:t>
      </w:r>
      <w:r w:rsidR="00FE7A19">
        <w:rPr>
          <w:rFonts w:eastAsia="Times New Roman"/>
        </w:rPr>
        <w:t>s</w:t>
      </w:r>
      <w:r w:rsidRPr="00FE7A19">
        <w:rPr>
          <w:rFonts w:eastAsia="Times New Roman"/>
        </w:rPr>
        <w:t>.</w:t>
      </w:r>
      <w:r w:rsidR="00FE7A19" w:rsidRPr="00FE7A19">
        <w:rPr>
          <w:rFonts w:eastAsia="Times New Roman"/>
        </w:rPr>
        <w:t xml:space="preserve"> In regard to Development, where projects are deemed as below PCR threshold in respect of PPN01/21, Social Value clauses are included as part of the construction contract with the appointed Contractor.</w:t>
      </w:r>
    </w:p>
    <w:p w14:paraId="3602D4FF" w14:textId="7F127AE2" w:rsidR="007E7E1E" w:rsidRPr="007E7E1E" w:rsidRDefault="007E7E1E" w:rsidP="00FE7A19">
      <w:pPr>
        <w:pStyle w:val="ListParagraph"/>
        <w:numPr>
          <w:ilvl w:val="0"/>
          <w:numId w:val="12"/>
        </w:numPr>
        <w:jc w:val="both"/>
        <w:rPr>
          <w:rFonts w:eastAsia="Times New Roman"/>
          <w:color w:val="FF0000"/>
        </w:rPr>
      </w:pPr>
      <w:r w:rsidRPr="007E7E1E">
        <w:rPr>
          <w:rFonts w:eastAsia="Times New Roman"/>
        </w:rPr>
        <w:t>Procurement continue to liaise with Strategic Investment Board regarding the Procurement Advice Note being deployed in 2022 relating to Scoring Social Value, attending an event in March 2023 organised by Social Enterprise NI to understand the opportunities for collaboration with social enterprises in Northern Ireland</w:t>
      </w:r>
      <w:r w:rsidRPr="007E7E1E">
        <w:rPr>
          <w:rFonts w:eastAsia="Times New Roman"/>
          <w:color w:val="FF0000"/>
        </w:rPr>
        <w:t>.</w:t>
      </w:r>
    </w:p>
    <w:p w14:paraId="07DA0567" w14:textId="459D28FA" w:rsidR="00ED46BB" w:rsidRPr="007E7E1E" w:rsidRDefault="00ED46BB" w:rsidP="00FE7A19">
      <w:pPr>
        <w:pStyle w:val="ListParagraph"/>
        <w:numPr>
          <w:ilvl w:val="0"/>
          <w:numId w:val="12"/>
        </w:numPr>
        <w:contextualSpacing w:val="0"/>
        <w:jc w:val="both"/>
        <w:rPr>
          <w:rFonts w:eastAsia="Times New Roman"/>
        </w:rPr>
      </w:pPr>
      <w:r w:rsidRPr="007E7E1E">
        <w:rPr>
          <w:rFonts w:eastAsia="Times New Roman"/>
        </w:rPr>
        <w:t xml:space="preserve">Evaluation training has </w:t>
      </w:r>
      <w:r w:rsidR="007E7E1E" w:rsidRPr="007E7E1E">
        <w:rPr>
          <w:rFonts w:eastAsia="Times New Roman"/>
        </w:rPr>
        <w:t xml:space="preserve">continued to be delivered </w:t>
      </w:r>
      <w:r w:rsidRPr="007E7E1E">
        <w:rPr>
          <w:rFonts w:eastAsia="Times New Roman"/>
        </w:rPr>
        <w:t xml:space="preserve">for colleagues who assist </w:t>
      </w:r>
      <w:r w:rsidR="007E7E1E">
        <w:rPr>
          <w:rFonts w:eastAsia="Times New Roman"/>
        </w:rPr>
        <w:t xml:space="preserve">in the </w:t>
      </w:r>
      <w:r w:rsidRPr="007E7E1E">
        <w:rPr>
          <w:rFonts w:eastAsia="Times New Roman"/>
        </w:rPr>
        <w:t>tender evaluations</w:t>
      </w:r>
      <w:r w:rsidR="007E7E1E">
        <w:rPr>
          <w:rFonts w:eastAsia="Times New Roman"/>
        </w:rPr>
        <w:t xml:space="preserve"> process.</w:t>
      </w:r>
    </w:p>
    <w:p w14:paraId="70DFE5CD" w14:textId="5089A109" w:rsidR="004F2F36" w:rsidRPr="007E7E1E" w:rsidRDefault="004F2F36" w:rsidP="00FE7A19">
      <w:pPr>
        <w:pStyle w:val="ListParagraph"/>
        <w:numPr>
          <w:ilvl w:val="0"/>
          <w:numId w:val="12"/>
        </w:numPr>
        <w:ind w:right="72"/>
        <w:jc w:val="both"/>
        <w:textAlignment w:val="baseline"/>
        <w:rPr>
          <w:rFonts w:asciiTheme="minorHAnsi" w:eastAsia="Arial" w:hAnsiTheme="minorHAnsi"/>
        </w:rPr>
      </w:pPr>
      <w:r w:rsidRPr="007E7E1E">
        <w:rPr>
          <w:rFonts w:asciiTheme="minorHAnsi" w:eastAsia="Arial" w:hAnsiTheme="minorHAnsi"/>
        </w:rPr>
        <w:t>eTendersNI continues to be the preferred method to run our online competitive tendering processes</w:t>
      </w:r>
      <w:r w:rsidR="003D11C3" w:rsidRPr="007E7E1E">
        <w:rPr>
          <w:rFonts w:asciiTheme="minorHAnsi" w:eastAsia="Arial" w:hAnsiTheme="minorHAnsi"/>
        </w:rPr>
        <w:t>. This</w:t>
      </w:r>
      <w:r w:rsidRPr="007E7E1E">
        <w:rPr>
          <w:rFonts w:asciiTheme="minorHAnsi" w:eastAsia="Arial" w:hAnsiTheme="minorHAnsi"/>
        </w:rPr>
        <w:t xml:space="preserve"> gives full </w:t>
      </w:r>
      <w:r w:rsidR="007E7E1E" w:rsidRPr="007E7E1E">
        <w:rPr>
          <w:rFonts w:asciiTheme="minorHAnsi" w:eastAsia="Arial" w:hAnsiTheme="minorHAnsi"/>
        </w:rPr>
        <w:t xml:space="preserve">access </w:t>
      </w:r>
      <w:r w:rsidRPr="007E7E1E">
        <w:rPr>
          <w:rFonts w:asciiTheme="minorHAnsi" w:eastAsia="Arial" w:hAnsiTheme="minorHAnsi"/>
        </w:rPr>
        <w:t>to prospective tenderers to bid for opportunities to supply  goods and services</w:t>
      </w:r>
      <w:r w:rsidR="003D11C3" w:rsidRPr="007E7E1E">
        <w:rPr>
          <w:rFonts w:asciiTheme="minorHAnsi" w:eastAsia="Arial" w:hAnsiTheme="minorHAnsi"/>
        </w:rPr>
        <w:t xml:space="preserve">, </w:t>
      </w:r>
      <w:r w:rsidRPr="007E7E1E">
        <w:rPr>
          <w:rFonts w:asciiTheme="minorHAnsi" w:eastAsia="Arial" w:hAnsiTheme="minorHAnsi"/>
        </w:rPr>
        <w:t>complies with PPP</w:t>
      </w:r>
      <w:r w:rsidR="007E7E1E" w:rsidRPr="007E7E1E">
        <w:rPr>
          <w:rFonts w:asciiTheme="minorHAnsi" w:eastAsia="Arial" w:hAnsiTheme="minorHAnsi"/>
        </w:rPr>
        <w:t xml:space="preserve"> </w:t>
      </w:r>
      <w:r w:rsidR="003D11C3" w:rsidRPr="007E7E1E">
        <w:rPr>
          <w:rFonts w:asciiTheme="minorHAnsi" w:eastAsia="Arial" w:hAnsiTheme="minorHAnsi"/>
        </w:rPr>
        <w:t xml:space="preserve">and provides </w:t>
      </w:r>
      <w:r w:rsidR="007E7E1E" w:rsidRPr="007E7E1E">
        <w:rPr>
          <w:rFonts w:asciiTheme="minorHAnsi" w:eastAsia="Arial" w:hAnsiTheme="minorHAnsi"/>
        </w:rPr>
        <w:t>full visibility of the process demonstrating complianc</w:t>
      </w:r>
      <w:r w:rsidR="002C4378">
        <w:rPr>
          <w:rFonts w:asciiTheme="minorHAnsi" w:eastAsia="Arial" w:hAnsiTheme="minorHAnsi"/>
        </w:rPr>
        <w:t>e a</w:t>
      </w:r>
      <w:r w:rsidR="007E7E1E" w:rsidRPr="007E7E1E">
        <w:rPr>
          <w:rFonts w:asciiTheme="minorHAnsi" w:eastAsia="Arial" w:hAnsiTheme="minorHAnsi"/>
        </w:rPr>
        <w:t>nd to facilitat</w:t>
      </w:r>
      <w:r w:rsidR="002C4378">
        <w:rPr>
          <w:rFonts w:asciiTheme="minorHAnsi" w:eastAsia="Arial" w:hAnsiTheme="minorHAnsi"/>
        </w:rPr>
        <w:t>ing</w:t>
      </w:r>
      <w:r w:rsidR="007E7E1E" w:rsidRPr="007E7E1E">
        <w:rPr>
          <w:rFonts w:asciiTheme="minorHAnsi" w:eastAsia="Arial" w:hAnsiTheme="minorHAnsi"/>
        </w:rPr>
        <w:t xml:space="preserve"> audit.</w:t>
      </w:r>
    </w:p>
    <w:p w14:paraId="1D2BEA7B" w14:textId="0E8BD396" w:rsidR="003D11C3" w:rsidRPr="007E7E1E" w:rsidRDefault="004F2F36" w:rsidP="00FE7A19">
      <w:pPr>
        <w:pStyle w:val="ListParagraph"/>
        <w:numPr>
          <w:ilvl w:val="0"/>
          <w:numId w:val="12"/>
        </w:numPr>
        <w:jc w:val="both"/>
        <w:rPr>
          <w:rFonts w:asciiTheme="minorHAnsi" w:eastAsia="Arial" w:hAnsiTheme="minorHAnsi"/>
        </w:rPr>
      </w:pPr>
      <w:r w:rsidRPr="003D11C3">
        <w:rPr>
          <w:rFonts w:asciiTheme="minorHAnsi" w:eastAsia="Arial" w:hAnsiTheme="minorHAnsi"/>
        </w:rPr>
        <w:t xml:space="preserve">We </w:t>
      </w:r>
      <w:r w:rsidR="003D11C3" w:rsidRPr="003D11C3">
        <w:rPr>
          <w:rFonts w:asciiTheme="minorHAnsi" w:eastAsia="Arial" w:hAnsiTheme="minorHAnsi"/>
        </w:rPr>
        <w:t xml:space="preserve">continue to </w:t>
      </w:r>
      <w:r w:rsidRPr="003D11C3">
        <w:rPr>
          <w:rFonts w:asciiTheme="minorHAnsi" w:eastAsia="Arial" w:hAnsiTheme="minorHAnsi"/>
        </w:rPr>
        <w:t>engage with organisations such as Crown Commercial Services, Procurement for Housing, NHS Shared Business Services</w:t>
      </w:r>
      <w:r w:rsidR="007E7E1E">
        <w:rPr>
          <w:rFonts w:asciiTheme="minorHAnsi" w:eastAsia="Arial" w:hAnsiTheme="minorHAnsi"/>
        </w:rPr>
        <w:t xml:space="preserve">, </w:t>
      </w:r>
      <w:r w:rsidRPr="003D11C3">
        <w:rPr>
          <w:rFonts w:asciiTheme="minorHAnsi" w:eastAsia="Arial" w:hAnsiTheme="minorHAnsi"/>
        </w:rPr>
        <w:t>Pagabo</w:t>
      </w:r>
      <w:r w:rsidR="007E7E1E">
        <w:rPr>
          <w:rFonts w:asciiTheme="minorHAnsi" w:eastAsia="Arial" w:hAnsiTheme="minorHAnsi"/>
        </w:rPr>
        <w:t xml:space="preserve"> and YPO</w:t>
      </w:r>
      <w:r w:rsidRPr="003D11C3">
        <w:rPr>
          <w:rFonts w:asciiTheme="minorHAnsi" w:eastAsia="Arial" w:hAnsiTheme="minorHAnsi"/>
        </w:rPr>
        <w:t xml:space="preserve"> to </w:t>
      </w:r>
      <w:r w:rsidR="003D11C3" w:rsidRPr="003D11C3">
        <w:rPr>
          <w:rFonts w:asciiTheme="minorHAnsi" w:eastAsia="Arial" w:hAnsiTheme="minorHAnsi"/>
        </w:rPr>
        <w:t xml:space="preserve">identify </w:t>
      </w:r>
      <w:r w:rsidRPr="003D11C3">
        <w:rPr>
          <w:rFonts w:asciiTheme="minorHAnsi" w:eastAsia="Arial" w:hAnsiTheme="minorHAnsi"/>
        </w:rPr>
        <w:t xml:space="preserve">frameworks that may be available for Choice to participate in key commodities and services </w:t>
      </w:r>
      <w:r w:rsidR="003D11C3" w:rsidRPr="003D11C3">
        <w:rPr>
          <w:rFonts w:asciiTheme="minorHAnsi" w:eastAsia="Arial" w:hAnsiTheme="minorHAnsi"/>
        </w:rPr>
        <w:t xml:space="preserve">which </w:t>
      </w:r>
      <w:r w:rsidRPr="003D11C3">
        <w:rPr>
          <w:rFonts w:asciiTheme="minorHAnsi" w:eastAsia="Arial" w:hAnsiTheme="minorHAnsi"/>
        </w:rPr>
        <w:t>may present value for money and minimise commercial risk.</w:t>
      </w:r>
      <w:r w:rsidR="003D11C3" w:rsidRPr="003D11C3">
        <w:rPr>
          <w:rFonts w:asciiTheme="minorHAnsi" w:eastAsia="Arial" w:hAnsiTheme="minorHAnsi"/>
        </w:rPr>
        <w:t xml:space="preserve"> </w:t>
      </w:r>
      <w:r w:rsidR="003D11C3" w:rsidRPr="007E7E1E">
        <w:rPr>
          <w:rFonts w:asciiTheme="minorHAnsi" w:eastAsia="Arial" w:hAnsiTheme="minorHAnsi"/>
        </w:rPr>
        <w:t>Contracts appointed via national frameworks include Planned and Response maintenance (CTS, Bell, Equans)</w:t>
      </w:r>
      <w:r w:rsidR="007E7E1E" w:rsidRPr="007E7E1E">
        <w:rPr>
          <w:rFonts w:asciiTheme="minorHAnsi" w:eastAsia="Arial" w:hAnsiTheme="minorHAnsi"/>
        </w:rPr>
        <w:t>, Gas Audit Consultancy Services (Corgi) Telemetry Services (tender exercise in progress via YPO)</w:t>
      </w:r>
      <w:r w:rsidR="008E3A7A">
        <w:rPr>
          <w:rFonts w:asciiTheme="minorHAnsi" w:eastAsia="Arial" w:hAnsiTheme="minorHAnsi"/>
        </w:rPr>
        <w:t>.</w:t>
      </w:r>
    </w:p>
    <w:p w14:paraId="1148F4C0" w14:textId="10BF17FF" w:rsidR="001510A4" w:rsidRPr="008E3A7A" w:rsidRDefault="003D11C3" w:rsidP="00FE7A19">
      <w:pPr>
        <w:pStyle w:val="ListParagraph"/>
        <w:numPr>
          <w:ilvl w:val="0"/>
          <w:numId w:val="12"/>
        </w:numPr>
        <w:ind w:right="72"/>
        <w:jc w:val="both"/>
        <w:textAlignment w:val="baseline"/>
        <w:rPr>
          <w:rFonts w:asciiTheme="minorHAnsi" w:eastAsia="Arial" w:hAnsiTheme="minorHAnsi"/>
          <w:color w:val="000000"/>
        </w:rPr>
      </w:pPr>
      <w:r w:rsidRPr="003D11C3">
        <w:rPr>
          <w:rFonts w:asciiTheme="minorHAnsi" w:eastAsia="Arial" w:hAnsiTheme="minorHAnsi"/>
        </w:rPr>
        <w:t>We have collaborated with NIFHA to set up a Procurement Forum to encourage greater communication between procurement teams within the sector to develop and promote best practice.</w:t>
      </w:r>
    </w:p>
    <w:p w14:paraId="5766CA7C" w14:textId="77777777" w:rsidR="007E7E1E" w:rsidRDefault="007E7E1E" w:rsidP="00C43CD6">
      <w:pPr>
        <w:ind w:right="72"/>
        <w:textAlignment w:val="baseline"/>
        <w:rPr>
          <w:rFonts w:asciiTheme="minorHAnsi" w:eastAsia="Arial" w:hAnsiTheme="minorHAnsi"/>
          <w:color w:val="000000"/>
        </w:rPr>
      </w:pPr>
    </w:p>
    <w:p w14:paraId="5B3709F1" w14:textId="77777777" w:rsidR="007E7E1E" w:rsidRDefault="007E7E1E" w:rsidP="00C43CD6">
      <w:pPr>
        <w:ind w:right="72"/>
        <w:textAlignment w:val="baseline"/>
        <w:rPr>
          <w:rFonts w:asciiTheme="minorHAnsi" w:eastAsia="Arial" w:hAnsiTheme="minorHAnsi"/>
          <w:color w:val="000000"/>
        </w:rPr>
      </w:pPr>
    </w:p>
    <w:p w14:paraId="4D62F4A6" w14:textId="77777777" w:rsidR="004863EC" w:rsidRDefault="004863EC" w:rsidP="00C43CD6">
      <w:pPr>
        <w:ind w:right="72"/>
        <w:textAlignment w:val="baseline"/>
        <w:rPr>
          <w:rFonts w:asciiTheme="minorHAnsi" w:eastAsia="Arial" w:hAnsiTheme="minorHAnsi"/>
          <w:color w:val="000000"/>
        </w:rPr>
      </w:pPr>
    </w:p>
    <w:p w14:paraId="7099E7B2" w14:textId="77777777" w:rsidR="004863EC" w:rsidRDefault="004863EC" w:rsidP="00C43CD6">
      <w:pPr>
        <w:ind w:right="72"/>
        <w:textAlignment w:val="baseline"/>
        <w:rPr>
          <w:rFonts w:asciiTheme="minorHAnsi" w:eastAsia="Arial" w:hAnsiTheme="minorHAnsi"/>
          <w:color w:val="000000"/>
        </w:rPr>
      </w:pPr>
    </w:p>
    <w:p w14:paraId="36E21F66" w14:textId="03914FDE" w:rsidR="003B3BC9" w:rsidRPr="006D7D6C" w:rsidRDefault="003B3BC9" w:rsidP="006D7D6C">
      <w:pPr>
        <w:ind w:right="72"/>
        <w:textAlignment w:val="baseline"/>
        <w:rPr>
          <w:rFonts w:asciiTheme="minorHAnsi" w:eastAsia="Arial" w:hAnsiTheme="minorHAnsi"/>
          <w:b/>
          <w:bCs/>
          <w:color w:val="000000"/>
        </w:rPr>
      </w:pPr>
      <w:r w:rsidRPr="006D7D6C">
        <w:rPr>
          <w:rFonts w:asciiTheme="minorHAnsi" w:eastAsia="Arial" w:hAnsiTheme="minorHAnsi"/>
          <w:b/>
          <w:bCs/>
          <w:color w:val="000000"/>
        </w:rPr>
        <w:t xml:space="preserve">Social </w:t>
      </w:r>
      <w:r w:rsidR="00A51E68" w:rsidRPr="006D7D6C">
        <w:rPr>
          <w:rFonts w:asciiTheme="minorHAnsi" w:eastAsia="Arial" w:hAnsiTheme="minorHAnsi"/>
          <w:b/>
          <w:bCs/>
          <w:color w:val="000000"/>
        </w:rPr>
        <w:t>I</w:t>
      </w:r>
      <w:r w:rsidRPr="006D7D6C">
        <w:rPr>
          <w:rFonts w:asciiTheme="minorHAnsi" w:eastAsia="Arial" w:hAnsiTheme="minorHAnsi"/>
          <w:b/>
          <w:bCs/>
          <w:color w:val="000000"/>
        </w:rPr>
        <w:t>mpact</w:t>
      </w:r>
    </w:p>
    <w:p w14:paraId="1BDB67FF" w14:textId="77777777" w:rsidR="003B3BC9" w:rsidRDefault="003B3BC9" w:rsidP="003B3BC9">
      <w:pPr>
        <w:ind w:left="72" w:right="72"/>
        <w:textAlignment w:val="baseline"/>
        <w:rPr>
          <w:rFonts w:asciiTheme="minorHAnsi" w:eastAsia="Arial" w:hAnsiTheme="minorHAnsi"/>
          <w:color w:val="000000"/>
        </w:rPr>
      </w:pPr>
    </w:p>
    <w:p w14:paraId="1E0DAE1D" w14:textId="77777777" w:rsidR="004863EC" w:rsidRDefault="004863EC" w:rsidP="004863EC">
      <w:pPr>
        <w:rPr>
          <w:rFonts w:asciiTheme="minorHAnsi" w:hAnsiTheme="minorHAnsi" w:cstheme="minorHAnsi"/>
          <w:lang w:eastAsia="en-IE"/>
        </w:rPr>
      </w:pPr>
      <w:r w:rsidRPr="004863EC">
        <w:rPr>
          <w:rFonts w:asciiTheme="minorHAnsi" w:hAnsiTheme="minorHAnsi" w:cstheme="minorHAnsi"/>
          <w:lang w:eastAsia="en-IE"/>
        </w:rPr>
        <w:t>As a social purpose organisation, Choice has a key role to play not only in providing homes, but also in creating vibrant and resilient communities, and supporting individuals and families through the provision of great services. We have a history of providing a variety of services for our tenants that can broadly be understood as ‘Community Investment’. This is a key way that we, as a housing association, differentiate ourselves from other landlords, and is central to how we demonstrate our social purpose.</w:t>
      </w:r>
    </w:p>
    <w:p w14:paraId="74045AF7" w14:textId="77777777" w:rsidR="009E6522" w:rsidRPr="004863EC" w:rsidRDefault="009E6522" w:rsidP="004863EC">
      <w:pPr>
        <w:rPr>
          <w:rFonts w:asciiTheme="minorHAnsi" w:hAnsiTheme="minorHAnsi" w:cstheme="minorHAnsi"/>
          <w:lang w:eastAsia="en-IE"/>
        </w:rPr>
      </w:pPr>
    </w:p>
    <w:p w14:paraId="0DDD478F" w14:textId="77777777" w:rsidR="004863EC" w:rsidRPr="004863EC" w:rsidRDefault="004863EC" w:rsidP="004863EC">
      <w:pPr>
        <w:spacing w:after="120"/>
        <w:rPr>
          <w:rFonts w:asciiTheme="minorHAnsi" w:hAnsiTheme="minorHAnsi" w:cstheme="minorHAnsi"/>
          <w:lang w:eastAsia="en-IE"/>
        </w:rPr>
      </w:pPr>
      <w:r w:rsidRPr="004863EC">
        <w:rPr>
          <w:rFonts w:asciiTheme="minorHAnsi" w:hAnsiTheme="minorHAnsi" w:cstheme="minorHAnsi"/>
          <w:lang w:eastAsia="en-IE"/>
        </w:rPr>
        <w:t>Economic Resilience and Health and Well-being are the two themes under which community investment activities are considered for funding.  In the year 2022-23 Choice partnered with 11 organisations to deliver £100,000 of investment and thereby supporting nearly 270 individuals in accessing education and skills and/or improving their physical and mental health.  Details of some of the initiatives are listed below.</w:t>
      </w:r>
    </w:p>
    <w:p w14:paraId="7D0EF530" w14:textId="77777777" w:rsidR="004863EC" w:rsidRPr="009E6522" w:rsidRDefault="004863EC" w:rsidP="004863EC">
      <w:pPr>
        <w:rPr>
          <w:rFonts w:asciiTheme="minorHAnsi" w:hAnsiTheme="minorHAnsi" w:cstheme="minorHAnsi"/>
          <w:i/>
          <w:iCs/>
          <w:lang w:eastAsia="en-IE"/>
        </w:rPr>
      </w:pPr>
      <w:r w:rsidRPr="009E6522">
        <w:rPr>
          <w:rFonts w:asciiTheme="minorHAnsi" w:hAnsiTheme="minorHAnsi" w:cstheme="minorHAnsi"/>
          <w:i/>
          <w:iCs/>
          <w:lang w:eastAsia="en-IE"/>
        </w:rPr>
        <w:t>Young Enterprise NI – Access Enterprise Programme</w:t>
      </w:r>
    </w:p>
    <w:p w14:paraId="41E13423" w14:textId="66229962" w:rsidR="004863EC" w:rsidRDefault="004863EC" w:rsidP="004863EC">
      <w:pPr>
        <w:rPr>
          <w:rFonts w:asciiTheme="minorHAnsi" w:hAnsiTheme="minorHAnsi" w:cstheme="minorHAnsi"/>
          <w:lang w:eastAsia="en-IE"/>
        </w:rPr>
      </w:pPr>
      <w:r w:rsidRPr="004863EC">
        <w:rPr>
          <w:rFonts w:asciiTheme="minorHAnsi" w:hAnsiTheme="minorHAnsi" w:cstheme="minorHAnsi"/>
          <w:lang w:eastAsia="en-IE"/>
        </w:rPr>
        <w:t>Four groups of young people aged 13-18 (34) Belfast and the North-West were supported by Choice to take part in the Access Enterprise Programme organised by Young Enterprise.</w:t>
      </w:r>
    </w:p>
    <w:p w14:paraId="0EF3F7CC" w14:textId="77777777" w:rsidR="009E6522" w:rsidRPr="004863EC" w:rsidRDefault="009E6522" w:rsidP="004863EC">
      <w:pPr>
        <w:rPr>
          <w:rFonts w:asciiTheme="minorHAnsi" w:hAnsiTheme="minorHAnsi" w:cstheme="minorHAnsi"/>
          <w:lang w:eastAsia="en-IE"/>
        </w:rPr>
      </w:pPr>
    </w:p>
    <w:p w14:paraId="779A0CBC" w14:textId="77777777" w:rsidR="004863EC" w:rsidRPr="009E6522" w:rsidRDefault="004863EC" w:rsidP="004863EC">
      <w:pPr>
        <w:rPr>
          <w:rFonts w:asciiTheme="minorHAnsi" w:hAnsiTheme="minorHAnsi" w:cstheme="minorHAnsi"/>
          <w:i/>
          <w:iCs/>
          <w:lang w:eastAsia="en-IE"/>
        </w:rPr>
      </w:pPr>
      <w:r w:rsidRPr="009E6522">
        <w:rPr>
          <w:rFonts w:asciiTheme="minorHAnsi" w:hAnsiTheme="minorHAnsi" w:cstheme="minorHAnsi"/>
          <w:i/>
          <w:iCs/>
          <w:lang w:eastAsia="en-IE"/>
        </w:rPr>
        <w:t>The Rio Ferdinand Foundation Community Pilot Programme</w:t>
      </w:r>
    </w:p>
    <w:p w14:paraId="6BE78952" w14:textId="77777777" w:rsidR="004863EC" w:rsidRPr="004863EC" w:rsidRDefault="004863EC" w:rsidP="004863EC">
      <w:pPr>
        <w:rPr>
          <w:rFonts w:asciiTheme="minorHAnsi" w:hAnsiTheme="minorHAnsi" w:cstheme="minorHAnsi"/>
          <w:lang w:eastAsia="en-IE"/>
        </w:rPr>
      </w:pPr>
      <w:r w:rsidRPr="004863EC">
        <w:rPr>
          <w:rFonts w:asciiTheme="minorHAnsi" w:hAnsiTheme="minorHAnsi" w:cstheme="minorHAnsi"/>
          <w:lang w:eastAsia="en-IE"/>
        </w:rPr>
        <w:t>In February 2023 Choice became the first housing association in Northern Ireland to partner with the well-established Rio Ferdinand Foundation (RFF) to support young people through a range of personal and professional development programmes.</w:t>
      </w:r>
    </w:p>
    <w:p w14:paraId="0D9EE286" w14:textId="77777777" w:rsidR="009E6522" w:rsidRDefault="009E6522" w:rsidP="004863EC">
      <w:pPr>
        <w:rPr>
          <w:rFonts w:asciiTheme="minorHAnsi" w:hAnsiTheme="minorHAnsi" w:cstheme="minorHAnsi"/>
          <w:lang w:eastAsia="en-IE"/>
        </w:rPr>
      </w:pPr>
    </w:p>
    <w:p w14:paraId="2C8C06E7" w14:textId="407618B6" w:rsidR="004863EC" w:rsidRPr="009E6522" w:rsidRDefault="004863EC" w:rsidP="004863EC">
      <w:pPr>
        <w:rPr>
          <w:rFonts w:asciiTheme="minorHAnsi" w:hAnsiTheme="minorHAnsi" w:cstheme="minorHAnsi"/>
          <w:i/>
          <w:iCs/>
          <w:lang w:eastAsia="en-IE"/>
        </w:rPr>
      </w:pPr>
      <w:r w:rsidRPr="009E6522">
        <w:rPr>
          <w:rFonts w:asciiTheme="minorHAnsi" w:hAnsiTheme="minorHAnsi" w:cstheme="minorHAnsi"/>
          <w:i/>
          <w:iCs/>
          <w:lang w:eastAsia="en-IE"/>
        </w:rPr>
        <w:t>Choice Housing Scholarships</w:t>
      </w:r>
    </w:p>
    <w:p w14:paraId="12F185FE" w14:textId="77777777" w:rsidR="004863EC" w:rsidRPr="004863EC" w:rsidRDefault="004863EC" w:rsidP="004863EC">
      <w:pPr>
        <w:rPr>
          <w:rFonts w:asciiTheme="minorHAnsi" w:hAnsiTheme="minorHAnsi" w:cstheme="minorHAnsi"/>
          <w:lang w:eastAsia="en-IE"/>
        </w:rPr>
      </w:pPr>
      <w:r w:rsidRPr="004863EC">
        <w:rPr>
          <w:rFonts w:asciiTheme="minorHAnsi" w:hAnsiTheme="minorHAnsi" w:cstheme="minorHAnsi"/>
          <w:lang w:eastAsia="en-IE"/>
        </w:rPr>
        <w:t xml:space="preserve">During the year, Choice also continued to work with Queens University and Ulster University to provide financial support to students facing financial, social or logistical barriers to furthering their education through its scholarship programme. </w:t>
      </w:r>
    </w:p>
    <w:p w14:paraId="728F4FD1" w14:textId="77777777" w:rsidR="009E6522" w:rsidRDefault="009E6522" w:rsidP="004863EC">
      <w:pPr>
        <w:rPr>
          <w:rFonts w:asciiTheme="minorHAnsi" w:hAnsiTheme="minorHAnsi" w:cstheme="minorHAnsi"/>
          <w:lang w:eastAsia="en-IE"/>
        </w:rPr>
      </w:pPr>
    </w:p>
    <w:p w14:paraId="56AE0BFB" w14:textId="2364F171" w:rsidR="004863EC" w:rsidRPr="009E6522" w:rsidRDefault="004863EC" w:rsidP="004863EC">
      <w:pPr>
        <w:rPr>
          <w:rFonts w:asciiTheme="minorHAnsi" w:hAnsiTheme="minorHAnsi" w:cstheme="minorHAnsi"/>
          <w:i/>
          <w:iCs/>
          <w:lang w:eastAsia="en-IE"/>
        </w:rPr>
      </w:pPr>
      <w:r w:rsidRPr="009E6522">
        <w:rPr>
          <w:rFonts w:asciiTheme="minorHAnsi" w:hAnsiTheme="minorHAnsi" w:cstheme="minorHAnsi"/>
          <w:i/>
          <w:iCs/>
          <w:lang w:eastAsia="en-IE"/>
        </w:rPr>
        <w:t>Groundwork NI – Pop-up and Grow Workshops</w:t>
      </w:r>
    </w:p>
    <w:p w14:paraId="6E0E8A8D" w14:textId="77777777" w:rsidR="004863EC" w:rsidRPr="004863EC" w:rsidRDefault="004863EC" w:rsidP="004863EC">
      <w:pPr>
        <w:rPr>
          <w:rFonts w:asciiTheme="minorHAnsi" w:hAnsiTheme="minorHAnsi" w:cstheme="minorHAnsi"/>
          <w:lang w:eastAsia="en-IE"/>
        </w:rPr>
      </w:pPr>
      <w:r w:rsidRPr="004863EC">
        <w:rPr>
          <w:rFonts w:asciiTheme="minorHAnsi" w:hAnsiTheme="minorHAnsi" w:cstheme="minorHAnsi"/>
          <w:lang w:eastAsia="en-IE"/>
        </w:rPr>
        <w:t xml:space="preserve">Groundwork NI deliver services and support across the region and have partnered with Choice to deliver six Pop-up and Grow workshops across the Choice Community Network.  </w:t>
      </w:r>
    </w:p>
    <w:p w14:paraId="2E295FA8" w14:textId="77777777" w:rsidR="00404DCA" w:rsidRPr="004863EC" w:rsidRDefault="00404DCA" w:rsidP="00A51E68">
      <w:pPr>
        <w:jc w:val="both"/>
        <w:rPr>
          <w:rFonts w:asciiTheme="minorHAnsi" w:hAnsiTheme="minorHAnsi" w:cstheme="minorHAnsi"/>
        </w:rPr>
      </w:pPr>
    </w:p>
    <w:p w14:paraId="4348324F" w14:textId="77777777" w:rsidR="00404DCA" w:rsidRDefault="00404DCA" w:rsidP="00A51E68">
      <w:pPr>
        <w:jc w:val="both"/>
      </w:pPr>
    </w:p>
    <w:p w14:paraId="16A4F74D" w14:textId="04476DB4" w:rsidR="00A51E68" w:rsidRDefault="00A51E68" w:rsidP="00A51E68">
      <w:pPr>
        <w:jc w:val="both"/>
        <w:rPr>
          <w:b/>
          <w:bCs/>
        </w:rPr>
      </w:pPr>
      <w:r w:rsidRPr="00404DCA">
        <w:rPr>
          <w:b/>
          <w:bCs/>
        </w:rPr>
        <w:t>Energy Efficiency</w:t>
      </w:r>
    </w:p>
    <w:p w14:paraId="3F9CCFD2" w14:textId="77777777" w:rsidR="009E6522" w:rsidRDefault="009E6522" w:rsidP="00A51E68">
      <w:pPr>
        <w:jc w:val="both"/>
        <w:rPr>
          <w:b/>
          <w:bCs/>
        </w:rPr>
      </w:pPr>
    </w:p>
    <w:p w14:paraId="50B98986" w14:textId="77777777" w:rsidR="00C06DB5" w:rsidRDefault="00C06DB5" w:rsidP="00C06DB5">
      <w:r>
        <w:t>In 2022-23 Choice published our new Sustainability &amp; Energy Strategy 2022-25. This strategy was developed in light of emerging environmental risks in the areas of climate change, biodiversity loss and resource management. As with our previous strategies this programme continues to centre around how Choice as a social housing provider can alleviate fuel poverty amongst our tenants. In this regard our new strategy aims to deliver synergy between environmental and social challenges as we strive to a just transition to net-zero.</w:t>
      </w:r>
    </w:p>
    <w:p w14:paraId="7977AFF6" w14:textId="77777777" w:rsidR="00C06DB5" w:rsidRDefault="00C06DB5" w:rsidP="00C06DB5"/>
    <w:p w14:paraId="78DDB5FD" w14:textId="77777777" w:rsidR="00C06DB5" w:rsidRDefault="00C06DB5" w:rsidP="00C06DB5">
      <w:r>
        <w:t xml:space="preserve">The core targets of our new strategy: </w:t>
      </w:r>
    </w:p>
    <w:p w14:paraId="6C9BA2B8" w14:textId="77777777" w:rsidR="00C06DB5" w:rsidRDefault="00C06DB5" w:rsidP="00C06DB5">
      <w:pPr>
        <w:pStyle w:val="ListParagraph"/>
        <w:numPr>
          <w:ilvl w:val="0"/>
          <w:numId w:val="18"/>
        </w:numPr>
        <w:suppressAutoHyphens/>
        <w:autoSpaceDN w:val="0"/>
        <w:spacing w:after="160" w:line="256" w:lineRule="auto"/>
      </w:pPr>
      <w:r>
        <w:t xml:space="preserve">Build all new homes to a SAP band A energy efficiency. </w:t>
      </w:r>
    </w:p>
    <w:p w14:paraId="29BE57C5" w14:textId="77777777" w:rsidR="00C06DB5" w:rsidRDefault="00C06DB5" w:rsidP="00C06DB5">
      <w:pPr>
        <w:pStyle w:val="ListParagraph"/>
        <w:numPr>
          <w:ilvl w:val="0"/>
          <w:numId w:val="18"/>
        </w:numPr>
        <w:suppressAutoHyphens/>
        <w:autoSpaceDN w:val="0"/>
        <w:spacing w:after="160" w:line="256" w:lineRule="auto"/>
      </w:pPr>
      <w:r>
        <w:t xml:space="preserve">Invest £250k in innovative technologies that reduce greenhouse gas emissions. </w:t>
      </w:r>
    </w:p>
    <w:p w14:paraId="0639DBD7" w14:textId="77777777" w:rsidR="00C06DB5" w:rsidRDefault="00C06DB5" w:rsidP="00C06DB5">
      <w:pPr>
        <w:pStyle w:val="ListParagraph"/>
        <w:numPr>
          <w:ilvl w:val="0"/>
          <w:numId w:val="18"/>
        </w:numPr>
        <w:suppressAutoHyphens/>
        <w:autoSpaceDN w:val="0"/>
        <w:spacing w:after="160" w:line="256" w:lineRule="auto"/>
      </w:pPr>
      <w:r>
        <w:t xml:space="preserve">Retrofit 65% of our EPC Band E, F &amp; G properties to a minimum of an EPC Band C. </w:t>
      </w:r>
    </w:p>
    <w:p w14:paraId="74B36E37" w14:textId="77777777" w:rsidR="00C06DB5" w:rsidRDefault="00C06DB5" w:rsidP="00C06DB5">
      <w:pPr>
        <w:pStyle w:val="ListParagraph"/>
        <w:numPr>
          <w:ilvl w:val="0"/>
          <w:numId w:val="18"/>
        </w:numPr>
        <w:suppressAutoHyphens/>
        <w:autoSpaceDN w:val="0"/>
        <w:spacing w:after="160" w:line="256" w:lineRule="auto"/>
      </w:pPr>
      <w:r>
        <w:t xml:space="preserve">Complete a lifecycle emissions footprint and set a 1.5 Celsius decarbonisation target. </w:t>
      </w:r>
    </w:p>
    <w:p w14:paraId="22982D24" w14:textId="77777777" w:rsidR="00C06DB5" w:rsidRDefault="00C06DB5" w:rsidP="00C06DB5">
      <w:pPr>
        <w:pStyle w:val="ListParagraph"/>
        <w:numPr>
          <w:ilvl w:val="0"/>
          <w:numId w:val="18"/>
        </w:numPr>
        <w:suppressAutoHyphens/>
        <w:autoSpaceDN w:val="0"/>
        <w:spacing w:after="160" w:line="256" w:lineRule="auto"/>
      </w:pPr>
      <w:r>
        <w:t>Set aside land for nature conservation at a new &amp; an existing housing development.</w:t>
      </w:r>
    </w:p>
    <w:p w14:paraId="43088CFA" w14:textId="77777777" w:rsidR="00C06DB5" w:rsidRDefault="00C06DB5" w:rsidP="00C06DB5">
      <w:pPr>
        <w:pStyle w:val="ListParagraph"/>
        <w:numPr>
          <w:ilvl w:val="0"/>
          <w:numId w:val="18"/>
        </w:numPr>
        <w:suppressAutoHyphens/>
        <w:autoSpaceDN w:val="0"/>
        <w:spacing w:after="160" w:line="256" w:lineRule="auto"/>
      </w:pPr>
      <w:r>
        <w:t xml:space="preserve">Take action reduce fuel poverty and promote sustainable behaviours amongst our tenants. </w:t>
      </w:r>
    </w:p>
    <w:p w14:paraId="3A1536ED" w14:textId="77777777" w:rsidR="00C06DB5" w:rsidRDefault="00C06DB5" w:rsidP="00C06DB5">
      <w:r>
        <w:lastRenderedPageBreak/>
        <w:t xml:space="preserve">With regards to our 2022-23 performance Choice and our tenants have been deeply impacted by the energy crisis. However, Choice are confident that our energy management and procurement procedures for landlord energy supplies delivered value for money in trying times. In 2022-23 Choice saved £301,713 on landlord gas supplies through our procurement process. We also generated 445,309kWh of renewable electricity which we supplied to tenants for free. If purchased on the market this electricity would cost £124,687. In terms of the environmental impact these actions we reduced our overall Scope 1&amp;2 emissions by 2% year on year, equivalent to 104 Tonnes of Carbon Dioxide. </w:t>
      </w:r>
    </w:p>
    <w:p w14:paraId="2B8D6D01" w14:textId="77777777" w:rsidR="00C06DB5" w:rsidRDefault="00C06DB5" w:rsidP="00C06DB5"/>
    <w:p w14:paraId="5AE8EF59" w14:textId="77777777" w:rsidR="00C06DB5" w:rsidRDefault="00C06DB5" w:rsidP="00C06DB5">
      <w:r>
        <w:t xml:space="preserve">In terms of our non-landlord energy tenants, we have started to transition our approaches to both Development and Asset management. Our aim is to deliver homes that are more affordable to heat and less harmful to the environment. In 2022-23 all of Choice’s new build homes achieved a SAP band B. We also devised a new-build template to achieve SAP Band A that meets both high environmental performance without jeopardising tenant affordability. </w:t>
      </w:r>
    </w:p>
    <w:p w14:paraId="463DEC05" w14:textId="77777777" w:rsidR="00C06DB5" w:rsidRDefault="00C06DB5" w:rsidP="00C06DB5"/>
    <w:p w14:paraId="35330D96" w14:textId="77777777" w:rsidR="00C06DB5" w:rsidRDefault="00C06DB5" w:rsidP="00C06DB5">
      <w:r>
        <w:t xml:space="preserve">Choice also completed the first 5 retrofit projects outlined within our new strategy, and made significant progress in the areas of data modelling and project development. Our efforts here will allow us to make huge strides into our retrofit programme in 2023-24. Through this investment and a more targeted approach to our planned maintenance, our average EPC score increased from 76 to 77. </w:t>
      </w:r>
    </w:p>
    <w:p w14:paraId="029D0EAF" w14:textId="77777777" w:rsidR="00C06DB5" w:rsidRDefault="00C06DB5" w:rsidP="00C06DB5"/>
    <w:p w14:paraId="32A75954" w14:textId="77777777" w:rsidR="00FF18A4" w:rsidRPr="00FF18A4" w:rsidRDefault="00FF18A4" w:rsidP="00FF18A4">
      <w:pPr>
        <w:rPr>
          <w:color w:val="1F497D"/>
        </w:rPr>
      </w:pPr>
    </w:p>
    <w:p w14:paraId="591ABF0F" w14:textId="4911F915" w:rsidR="003B3BC9" w:rsidRPr="00BF5A61" w:rsidRDefault="003B3BC9" w:rsidP="003B3BC9">
      <w:pPr>
        <w:ind w:right="72"/>
        <w:textAlignment w:val="baseline"/>
        <w:rPr>
          <w:rFonts w:asciiTheme="minorHAnsi" w:eastAsia="Arial" w:hAnsiTheme="minorHAnsi"/>
          <w:b/>
          <w:color w:val="000000"/>
          <w:sz w:val="28"/>
          <w:u w:val="single"/>
        </w:rPr>
      </w:pPr>
      <w:r w:rsidRPr="00BF5A61">
        <w:rPr>
          <w:rFonts w:asciiTheme="minorHAnsi" w:eastAsia="Arial" w:hAnsiTheme="minorHAnsi"/>
          <w:b/>
          <w:color w:val="000000"/>
          <w:sz w:val="28"/>
          <w:u w:val="single"/>
        </w:rPr>
        <w:t>Delivery of The Strategy</w:t>
      </w:r>
    </w:p>
    <w:p w14:paraId="72209097" w14:textId="77777777" w:rsidR="003B3BC9" w:rsidRDefault="003B3BC9" w:rsidP="003B3BC9">
      <w:pPr>
        <w:ind w:right="72"/>
        <w:textAlignment w:val="baseline"/>
        <w:rPr>
          <w:rFonts w:asciiTheme="minorHAnsi" w:eastAsia="Arial" w:hAnsiTheme="minorHAnsi"/>
          <w:color w:val="000000"/>
        </w:rPr>
      </w:pPr>
    </w:p>
    <w:p w14:paraId="12058CDA" w14:textId="424F6F6F" w:rsidR="00855EB8" w:rsidRPr="00653FAC" w:rsidRDefault="006D7D6C" w:rsidP="00653FAC">
      <w:pPr>
        <w:tabs>
          <w:tab w:val="left" w:pos="567"/>
        </w:tabs>
        <w:jc w:val="both"/>
        <w:rPr>
          <w:rFonts w:asciiTheme="minorHAnsi" w:eastAsia="Arial" w:hAnsiTheme="minorHAnsi"/>
          <w:color w:val="000000"/>
        </w:rPr>
      </w:pPr>
      <w:r>
        <w:rPr>
          <w:rFonts w:asciiTheme="minorHAnsi" w:eastAsia="Arial" w:hAnsiTheme="minorHAnsi"/>
          <w:color w:val="000000"/>
        </w:rPr>
        <w:t>O</w:t>
      </w:r>
      <w:r w:rsidR="00653FAC">
        <w:rPr>
          <w:rFonts w:asciiTheme="minorHAnsi" w:eastAsia="Arial" w:hAnsiTheme="minorHAnsi"/>
          <w:color w:val="000000"/>
        </w:rPr>
        <w:t xml:space="preserve">ur corporate strategy for the period 2021-2024 </w:t>
      </w:r>
      <w:r>
        <w:rPr>
          <w:rFonts w:asciiTheme="minorHAnsi" w:eastAsia="Arial" w:hAnsiTheme="minorHAnsi"/>
          <w:color w:val="000000"/>
        </w:rPr>
        <w:t xml:space="preserve">has as one of its </w:t>
      </w:r>
      <w:r w:rsidR="00653FAC">
        <w:rPr>
          <w:rFonts w:asciiTheme="minorHAnsi" w:eastAsia="Arial" w:hAnsiTheme="minorHAnsi"/>
          <w:color w:val="000000"/>
        </w:rPr>
        <w:t>key strategic goals</w:t>
      </w:r>
      <w:r>
        <w:rPr>
          <w:rFonts w:asciiTheme="minorHAnsi" w:eastAsia="Arial" w:hAnsiTheme="minorHAnsi"/>
          <w:color w:val="000000"/>
        </w:rPr>
        <w:t xml:space="preserve"> </w:t>
      </w:r>
      <w:r w:rsidR="00653FAC">
        <w:rPr>
          <w:rFonts w:asciiTheme="minorHAnsi" w:eastAsia="Arial" w:hAnsiTheme="minorHAnsi"/>
          <w:color w:val="000000"/>
        </w:rPr>
        <w:t xml:space="preserve"> to “demonstrate value for money and good stewardship of our assets and resources”.</w:t>
      </w:r>
    </w:p>
    <w:p w14:paraId="79F94648" w14:textId="77777777" w:rsidR="00855EB8" w:rsidRDefault="00855EB8" w:rsidP="00680136">
      <w:pPr>
        <w:ind w:right="72"/>
        <w:jc w:val="both"/>
        <w:textAlignment w:val="baseline"/>
        <w:rPr>
          <w:rFonts w:asciiTheme="minorHAnsi" w:eastAsia="Arial" w:hAnsiTheme="minorHAnsi"/>
          <w:color w:val="000000"/>
        </w:rPr>
      </w:pPr>
    </w:p>
    <w:p w14:paraId="6B0A361C" w14:textId="5C267E35" w:rsidR="0092216A" w:rsidRDefault="00B42F28" w:rsidP="00680136">
      <w:pPr>
        <w:ind w:right="72"/>
        <w:jc w:val="both"/>
        <w:textAlignment w:val="baseline"/>
        <w:rPr>
          <w:rFonts w:asciiTheme="minorHAnsi" w:eastAsia="Arial" w:hAnsiTheme="minorHAnsi"/>
          <w:color w:val="000000"/>
        </w:rPr>
      </w:pPr>
      <w:r>
        <w:rPr>
          <w:rFonts w:asciiTheme="minorHAnsi" w:eastAsia="Arial" w:hAnsiTheme="minorHAnsi"/>
          <w:color w:val="000000"/>
        </w:rPr>
        <w:t xml:space="preserve">To support the delivery of these objectives </w:t>
      </w:r>
      <w:r w:rsidR="00653FAC">
        <w:rPr>
          <w:rFonts w:asciiTheme="minorHAnsi" w:eastAsia="Arial" w:hAnsiTheme="minorHAnsi"/>
          <w:color w:val="000000"/>
        </w:rPr>
        <w:t xml:space="preserve">our </w:t>
      </w:r>
      <w:r w:rsidR="006D7D6C">
        <w:rPr>
          <w:rFonts w:asciiTheme="minorHAnsi" w:eastAsia="Arial" w:hAnsiTheme="minorHAnsi"/>
          <w:color w:val="000000"/>
        </w:rPr>
        <w:t>Group SMT</w:t>
      </w:r>
      <w:r>
        <w:rPr>
          <w:rFonts w:asciiTheme="minorHAnsi" w:eastAsia="Arial" w:hAnsiTheme="minorHAnsi"/>
          <w:color w:val="000000"/>
        </w:rPr>
        <w:t xml:space="preserve"> </w:t>
      </w:r>
      <w:r w:rsidR="00653FAC">
        <w:rPr>
          <w:rFonts w:asciiTheme="minorHAnsi" w:eastAsia="Arial" w:hAnsiTheme="minorHAnsi"/>
          <w:color w:val="000000"/>
        </w:rPr>
        <w:t>provides oversight of VFM initiatives across the organisation</w:t>
      </w:r>
      <w:r>
        <w:rPr>
          <w:rFonts w:asciiTheme="minorHAnsi" w:eastAsia="Arial" w:hAnsiTheme="minorHAnsi"/>
          <w:color w:val="000000"/>
        </w:rPr>
        <w:t xml:space="preserve">.  </w:t>
      </w:r>
      <w:r w:rsidR="00653FAC">
        <w:rPr>
          <w:rFonts w:asciiTheme="minorHAnsi" w:eastAsia="Arial" w:hAnsiTheme="minorHAnsi"/>
          <w:color w:val="000000"/>
        </w:rPr>
        <w:t>During the year ended March 202</w:t>
      </w:r>
      <w:r w:rsidR="009E6522">
        <w:rPr>
          <w:rFonts w:asciiTheme="minorHAnsi" w:eastAsia="Arial" w:hAnsiTheme="minorHAnsi"/>
          <w:color w:val="000000"/>
        </w:rPr>
        <w:t>3</w:t>
      </w:r>
      <w:r w:rsidR="00653FAC">
        <w:rPr>
          <w:rFonts w:asciiTheme="minorHAnsi" w:eastAsia="Arial" w:hAnsiTheme="minorHAnsi"/>
          <w:color w:val="000000"/>
        </w:rPr>
        <w:t xml:space="preserve"> we </w:t>
      </w:r>
      <w:r w:rsidR="006D7D6C">
        <w:rPr>
          <w:rFonts w:asciiTheme="minorHAnsi" w:eastAsia="Arial" w:hAnsiTheme="minorHAnsi"/>
          <w:color w:val="000000"/>
        </w:rPr>
        <w:t>substantially completed the work programme for the year</w:t>
      </w:r>
      <w:r w:rsidR="00653FAC">
        <w:rPr>
          <w:rFonts w:asciiTheme="minorHAnsi" w:eastAsia="Arial" w:hAnsiTheme="minorHAnsi"/>
          <w:color w:val="000000"/>
        </w:rPr>
        <w:t>. Our plan for the year ended March 202</w:t>
      </w:r>
      <w:r w:rsidR="006D7D6C">
        <w:rPr>
          <w:rFonts w:asciiTheme="minorHAnsi" w:eastAsia="Arial" w:hAnsiTheme="minorHAnsi"/>
          <w:color w:val="000000"/>
        </w:rPr>
        <w:t>3</w:t>
      </w:r>
      <w:r w:rsidR="00653FAC">
        <w:rPr>
          <w:rFonts w:asciiTheme="minorHAnsi" w:eastAsia="Arial" w:hAnsiTheme="minorHAnsi"/>
          <w:color w:val="000000"/>
        </w:rPr>
        <w:t xml:space="preserve"> focus</w:t>
      </w:r>
      <w:r w:rsidR="006D7D6C">
        <w:rPr>
          <w:rFonts w:asciiTheme="minorHAnsi" w:eastAsia="Arial" w:hAnsiTheme="minorHAnsi"/>
          <w:color w:val="000000"/>
        </w:rPr>
        <w:t>es</w:t>
      </w:r>
      <w:r w:rsidR="00653FAC">
        <w:rPr>
          <w:rFonts w:asciiTheme="minorHAnsi" w:eastAsia="Arial" w:hAnsiTheme="minorHAnsi"/>
          <w:color w:val="000000"/>
        </w:rPr>
        <w:t xml:space="preserve"> on a number of key initiatives across all directorates with the aim of further enhancing value.</w:t>
      </w:r>
    </w:p>
    <w:p w14:paraId="01CAB70D" w14:textId="77777777" w:rsidR="0092216A" w:rsidRDefault="0092216A" w:rsidP="00680136">
      <w:pPr>
        <w:ind w:right="72"/>
        <w:jc w:val="both"/>
        <w:textAlignment w:val="baseline"/>
        <w:rPr>
          <w:rFonts w:asciiTheme="minorHAnsi" w:eastAsia="Arial" w:hAnsiTheme="minorHAnsi"/>
          <w:color w:val="000000"/>
        </w:rPr>
      </w:pPr>
    </w:p>
    <w:p w14:paraId="44D66EA4" w14:textId="77777777" w:rsidR="009D3E6F" w:rsidRDefault="009D3E6F" w:rsidP="009D3E6F">
      <w:pPr>
        <w:ind w:right="72"/>
        <w:textAlignment w:val="baseline"/>
        <w:rPr>
          <w:rFonts w:asciiTheme="minorHAnsi" w:eastAsia="Arial" w:hAnsiTheme="minorHAnsi"/>
          <w:b/>
          <w:color w:val="000000"/>
          <w:sz w:val="28"/>
          <w:u w:val="single"/>
        </w:rPr>
      </w:pPr>
    </w:p>
    <w:p w14:paraId="58DD3055" w14:textId="630152E8" w:rsidR="0092216A" w:rsidRPr="009D3E6F" w:rsidRDefault="006E436B" w:rsidP="009D3E6F">
      <w:pPr>
        <w:ind w:right="72"/>
        <w:textAlignment w:val="baseline"/>
        <w:rPr>
          <w:rFonts w:asciiTheme="minorHAnsi" w:eastAsia="Arial" w:hAnsiTheme="minorHAnsi"/>
          <w:b/>
          <w:color w:val="000000"/>
          <w:sz w:val="28"/>
          <w:u w:val="single"/>
        </w:rPr>
      </w:pPr>
      <w:r w:rsidRPr="009D3E6F">
        <w:rPr>
          <w:rFonts w:asciiTheme="minorHAnsi" w:eastAsia="Arial" w:hAnsiTheme="minorHAnsi"/>
          <w:b/>
          <w:color w:val="000000"/>
          <w:sz w:val="28"/>
          <w:u w:val="single"/>
        </w:rPr>
        <w:t>Conclusions</w:t>
      </w:r>
    </w:p>
    <w:p w14:paraId="38941914" w14:textId="77777777" w:rsidR="009B3EF1" w:rsidRDefault="009B3EF1" w:rsidP="00680136">
      <w:pPr>
        <w:ind w:right="72"/>
        <w:jc w:val="both"/>
        <w:textAlignment w:val="baseline"/>
        <w:rPr>
          <w:rFonts w:asciiTheme="minorHAnsi" w:eastAsia="Arial" w:hAnsiTheme="minorHAnsi"/>
          <w:b/>
          <w:color w:val="000000"/>
        </w:rPr>
      </w:pPr>
    </w:p>
    <w:p w14:paraId="2492E9D6" w14:textId="77777777" w:rsidR="009B3EF1" w:rsidRPr="009B3EF1" w:rsidRDefault="009B3EF1" w:rsidP="00680136">
      <w:pPr>
        <w:ind w:right="72"/>
        <w:jc w:val="both"/>
        <w:textAlignment w:val="baseline"/>
        <w:rPr>
          <w:rFonts w:asciiTheme="minorHAnsi" w:eastAsia="Arial" w:hAnsiTheme="minorHAnsi"/>
          <w:color w:val="000000"/>
        </w:rPr>
      </w:pPr>
      <w:r>
        <w:rPr>
          <w:rFonts w:asciiTheme="minorHAnsi" w:eastAsia="Arial" w:hAnsiTheme="minorHAnsi"/>
          <w:color w:val="000000"/>
        </w:rPr>
        <w:t>We re-confirm the importance of VFM to Choice, and believe we have made good progress this year.</w:t>
      </w:r>
    </w:p>
    <w:p w14:paraId="33217ADA" w14:textId="77777777" w:rsidR="006E436B" w:rsidRPr="00564BC5" w:rsidRDefault="006E436B" w:rsidP="00680136">
      <w:pPr>
        <w:ind w:right="72"/>
        <w:jc w:val="both"/>
        <w:textAlignment w:val="baseline"/>
        <w:rPr>
          <w:rFonts w:asciiTheme="minorHAnsi" w:eastAsia="Arial" w:hAnsiTheme="minorHAnsi"/>
          <w:color w:val="000000"/>
        </w:rPr>
      </w:pPr>
    </w:p>
    <w:p w14:paraId="2672DB4F" w14:textId="77777777" w:rsidR="00272010" w:rsidRPr="00272010" w:rsidRDefault="009B3EF1" w:rsidP="00680136">
      <w:pPr>
        <w:jc w:val="both"/>
        <w:rPr>
          <w:rFonts w:eastAsia="Times New Roman"/>
        </w:rPr>
      </w:pPr>
      <w:r>
        <w:rPr>
          <w:rFonts w:asciiTheme="minorHAnsi" w:eastAsia="Arial" w:hAnsiTheme="minorHAnsi"/>
          <w:color w:val="000000"/>
        </w:rPr>
        <w:t xml:space="preserve">We aspire towards continuous improvement and we will continue to place considerable emphasis on improving VFM. </w:t>
      </w:r>
      <w:r w:rsidR="000D6D43" w:rsidRPr="00564BC5">
        <w:rPr>
          <w:rFonts w:asciiTheme="minorHAnsi" w:eastAsia="Arial" w:hAnsiTheme="minorHAnsi"/>
          <w:color w:val="000000"/>
        </w:rPr>
        <w:t xml:space="preserve">We will routinely review our policies, processes, systems and measures to ensure that these underpin </w:t>
      </w:r>
      <w:r w:rsidR="006F7DCD" w:rsidRPr="00564BC5">
        <w:rPr>
          <w:rFonts w:asciiTheme="minorHAnsi" w:eastAsia="Arial" w:hAnsiTheme="minorHAnsi"/>
          <w:color w:val="000000"/>
        </w:rPr>
        <w:t>our VFM strategy and priorities.</w:t>
      </w:r>
      <w:r w:rsidR="00272010" w:rsidRPr="00564BC5">
        <w:rPr>
          <w:rFonts w:asciiTheme="minorHAnsi" w:eastAsia="Arial" w:hAnsiTheme="minorHAnsi"/>
          <w:color w:val="000000"/>
        </w:rPr>
        <w:t xml:space="preserve"> In particular, our </w:t>
      </w:r>
      <w:r w:rsidR="00272010" w:rsidRPr="00272010">
        <w:rPr>
          <w:rFonts w:eastAsia="Times New Roman"/>
        </w:rPr>
        <w:t>KPI metrics have been updated to ensure that the management of Choice have the information to assess our VFM performance against the objectives outlined above. </w:t>
      </w:r>
    </w:p>
    <w:p w14:paraId="1F541E92" w14:textId="77777777" w:rsidR="00272010" w:rsidRPr="00272010" w:rsidRDefault="00272010" w:rsidP="00680136">
      <w:pPr>
        <w:jc w:val="both"/>
        <w:rPr>
          <w:rFonts w:eastAsia="Times New Roman"/>
        </w:rPr>
      </w:pPr>
    </w:p>
    <w:p w14:paraId="79259BB4" w14:textId="77777777" w:rsidR="00765C48" w:rsidRPr="00564BC5" w:rsidRDefault="00765C48" w:rsidP="00680136">
      <w:pPr>
        <w:jc w:val="both"/>
        <w:rPr>
          <w:rFonts w:asciiTheme="minorHAnsi" w:eastAsia="Arial" w:hAnsiTheme="minorHAnsi"/>
          <w:color w:val="000000"/>
        </w:rPr>
      </w:pPr>
      <w:r w:rsidRPr="00564BC5">
        <w:rPr>
          <w:rFonts w:asciiTheme="minorHAnsi" w:eastAsia="Arial" w:hAnsiTheme="minorHAnsi"/>
          <w:color w:val="000000"/>
        </w:rPr>
        <w:t xml:space="preserve">We will </w:t>
      </w:r>
      <w:r w:rsidR="006F7DCD" w:rsidRPr="00564BC5">
        <w:rPr>
          <w:rFonts w:asciiTheme="minorHAnsi" w:eastAsia="Arial" w:hAnsiTheme="minorHAnsi"/>
          <w:color w:val="000000"/>
        </w:rPr>
        <w:t xml:space="preserve">also </w:t>
      </w:r>
      <w:r w:rsidRPr="00564BC5">
        <w:rPr>
          <w:rFonts w:asciiTheme="minorHAnsi" w:eastAsia="Arial" w:hAnsiTheme="minorHAnsi"/>
          <w:color w:val="000000"/>
        </w:rPr>
        <w:t>ensure that</w:t>
      </w:r>
      <w:r w:rsidR="006F7DCD" w:rsidRPr="00564BC5">
        <w:rPr>
          <w:rFonts w:asciiTheme="minorHAnsi" w:eastAsia="Arial" w:hAnsiTheme="minorHAnsi"/>
          <w:color w:val="000000"/>
        </w:rPr>
        <w:t xml:space="preserve"> relevant VFM actions and outcomes are communicated regularly with our customers and stakeholders to demonstrate progress against our plans.</w:t>
      </w:r>
    </w:p>
    <w:p w14:paraId="32D35256" w14:textId="77777777" w:rsidR="00A71FA5" w:rsidRPr="00564BC5" w:rsidRDefault="00A71FA5" w:rsidP="000D6D43">
      <w:pPr>
        <w:ind w:left="72" w:right="72"/>
        <w:textAlignment w:val="baseline"/>
        <w:rPr>
          <w:rFonts w:asciiTheme="minorHAnsi" w:eastAsia="Arial" w:hAnsiTheme="minorHAnsi"/>
          <w:color w:val="000000"/>
        </w:rPr>
      </w:pPr>
    </w:p>
    <w:p w14:paraId="700A7027" w14:textId="77777777" w:rsidR="00A71FA5" w:rsidRPr="00564BC5" w:rsidRDefault="00A71FA5" w:rsidP="000D6D43">
      <w:pPr>
        <w:ind w:left="72" w:right="72"/>
        <w:textAlignment w:val="baseline"/>
        <w:rPr>
          <w:rFonts w:asciiTheme="minorHAnsi" w:eastAsia="Arial" w:hAnsiTheme="minorHAnsi"/>
          <w:color w:val="000000"/>
        </w:rPr>
      </w:pPr>
    </w:p>
    <w:p w14:paraId="5B7D69E0" w14:textId="77777777" w:rsidR="00A71FA5" w:rsidRPr="00564BC5" w:rsidRDefault="00A71FA5" w:rsidP="000D6D43">
      <w:pPr>
        <w:ind w:left="72" w:right="72"/>
        <w:textAlignment w:val="baseline"/>
        <w:rPr>
          <w:rFonts w:asciiTheme="minorHAnsi" w:eastAsia="Arial" w:hAnsiTheme="minorHAnsi"/>
          <w:color w:val="000000"/>
        </w:rPr>
      </w:pPr>
      <w:r w:rsidRPr="00564BC5">
        <w:rPr>
          <w:rFonts w:asciiTheme="minorHAnsi" w:eastAsia="Arial" w:hAnsiTheme="minorHAnsi"/>
          <w:color w:val="000000"/>
        </w:rPr>
        <w:t xml:space="preserve">Board </w:t>
      </w:r>
      <w:r w:rsidR="00193686" w:rsidRPr="00564BC5">
        <w:rPr>
          <w:rFonts w:asciiTheme="minorHAnsi" w:eastAsia="Arial" w:hAnsiTheme="minorHAnsi"/>
          <w:color w:val="000000"/>
        </w:rPr>
        <w:t xml:space="preserve">&amp; SMT </w:t>
      </w:r>
      <w:r w:rsidRPr="00564BC5">
        <w:rPr>
          <w:rFonts w:asciiTheme="minorHAnsi" w:eastAsia="Arial" w:hAnsiTheme="minorHAnsi"/>
          <w:color w:val="000000"/>
        </w:rPr>
        <w:t>of Choice</w:t>
      </w:r>
    </w:p>
    <w:p w14:paraId="75538AD1" w14:textId="5658E0CC" w:rsidR="00A71FA5" w:rsidRPr="00564BC5" w:rsidRDefault="009E6522" w:rsidP="000D6D43">
      <w:pPr>
        <w:ind w:left="72" w:right="72"/>
        <w:textAlignment w:val="baseline"/>
        <w:rPr>
          <w:rFonts w:asciiTheme="minorHAnsi" w:eastAsia="Arial" w:hAnsiTheme="minorHAnsi"/>
          <w:color w:val="000000"/>
        </w:rPr>
      </w:pPr>
      <w:r>
        <w:rPr>
          <w:rFonts w:asciiTheme="minorHAnsi" w:eastAsia="Arial" w:hAnsiTheme="minorHAnsi"/>
          <w:color w:val="000000"/>
        </w:rPr>
        <w:t>2</w:t>
      </w:r>
      <w:r w:rsidR="00D1781F">
        <w:rPr>
          <w:rFonts w:asciiTheme="minorHAnsi" w:eastAsia="Arial" w:hAnsiTheme="minorHAnsi"/>
          <w:color w:val="000000"/>
        </w:rPr>
        <w:t>3rd</w:t>
      </w:r>
      <w:r w:rsidR="001463F9">
        <w:rPr>
          <w:rFonts w:asciiTheme="minorHAnsi" w:eastAsia="Arial" w:hAnsiTheme="minorHAnsi"/>
          <w:color w:val="000000"/>
        </w:rPr>
        <w:t xml:space="preserve"> August 202</w:t>
      </w:r>
      <w:r>
        <w:rPr>
          <w:rFonts w:asciiTheme="minorHAnsi" w:eastAsia="Arial" w:hAnsiTheme="minorHAnsi"/>
          <w:color w:val="000000"/>
        </w:rPr>
        <w:t>3</w:t>
      </w:r>
    </w:p>
    <w:p w14:paraId="210168F7" w14:textId="77777777" w:rsidR="00765C48" w:rsidRPr="002178E5" w:rsidRDefault="00765C48" w:rsidP="000D6D43">
      <w:pPr>
        <w:rPr>
          <w:rFonts w:asciiTheme="minorHAnsi" w:eastAsia="Arial" w:hAnsiTheme="minorHAnsi"/>
          <w:i/>
          <w:color w:val="000000"/>
          <w:sz w:val="20"/>
        </w:rPr>
      </w:pPr>
    </w:p>
    <w:bookmarkEnd w:id="0"/>
    <w:p w14:paraId="4E249B14" w14:textId="77777777" w:rsidR="00765C48" w:rsidRPr="002178E5" w:rsidRDefault="00765C48" w:rsidP="000D6D43">
      <w:pPr>
        <w:ind w:right="144"/>
        <w:textAlignment w:val="baseline"/>
        <w:rPr>
          <w:rFonts w:asciiTheme="minorHAnsi" w:eastAsia="Arial" w:hAnsiTheme="minorHAnsi"/>
          <w:color w:val="000000"/>
        </w:rPr>
      </w:pPr>
    </w:p>
    <w:sectPr w:rsidR="00765C48" w:rsidRPr="002178E5" w:rsidSect="00FE768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6039" w14:textId="77777777" w:rsidR="00AD04D5" w:rsidRDefault="00AD04D5" w:rsidP="00BE3180">
      <w:r>
        <w:separator/>
      </w:r>
    </w:p>
  </w:endnote>
  <w:endnote w:type="continuationSeparator" w:id="0">
    <w:p w14:paraId="4FD26BC8" w14:textId="77777777" w:rsidR="00AD04D5" w:rsidRDefault="00AD04D5" w:rsidP="00BE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45 Light">
    <w:altName w:val="Arial"/>
    <w:charset w:val="00"/>
    <w:family w:val="swiss"/>
    <w:pitch w:val="default"/>
    <w:sig w:usb0="00000003" w:usb1="00000000" w:usb2="00000000" w:usb3="00000000" w:csb0="00000001" w:csb1="00000000"/>
  </w:font>
  <w:font w:name=".SF UI Display">
    <w:altName w:val="Times New Roman"/>
    <w:panose1 w:val="00000000000000000000"/>
    <w:charset w:val="00"/>
    <w:family w:val="roman"/>
    <w:notTrueType/>
    <w:pitch w:val="default"/>
  </w:font>
  <w:font w:name=".SFUIDisplay-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1610" w14:textId="77777777" w:rsidR="00D54CEA" w:rsidRDefault="00D54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DF23" w14:textId="77777777" w:rsidR="00D54CEA" w:rsidRDefault="00D54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F1F3" w14:textId="77777777" w:rsidR="00D54CEA" w:rsidRDefault="00D54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6331" w14:textId="77777777" w:rsidR="00AD04D5" w:rsidRDefault="00AD04D5" w:rsidP="00BE3180">
      <w:r>
        <w:separator/>
      </w:r>
    </w:p>
  </w:footnote>
  <w:footnote w:type="continuationSeparator" w:id="0">
    <w:p w14:paraId="4D4A8479" w14:textId="77777777" w:rsidR="00AD04D5" w:rsidRDefault="00AD04D5" w:rsidP="00BE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E4D5" w14:textId="77777777" w:rsidR="00D54CEA" w:rsidRDefault="00D54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2321" w14:textId="5782358A" w:rsidR="00D54CEA" w:rsidRDefault="00D54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3B75" w14:textId="77777777" w:rsidR="00D54CEA" w:rsidRDefault="00D54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43A"/>
    <w:multiLevelType w:val="hybridMultilevel"/>
    <w:tmpl w:val="4F8C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D623F"/>
    <w:multiLevelType w:val="hybridMultilevel"/>
    <w:tmpl w:val="8A820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07BD2"/>
    <w:multiLevelType w:val="hybridMultilevel"/>
    <w:tmpl w:val="E76E1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F33CB"/>
    <w:multiLevelType w:val="hybridMultilevel"/>
    <w:tmpl w:val="D8ACFDBC"/>
    <w:lvl w:ilvl="0" w:tplc="D39483D0">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75369C"/>
    <w:multiLevelType w:val="hybridMultilevel"/>
    <w:tmpl w:val="9F949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A11B48"/>
    <w:multiLevelType w:val="hybridMultilevel"/>
    <w:tmpl w:val="89642C98"/>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 w15:restartNumberingAfterBreak="0">
    <w:nsid w:val="307B115B"/>
    <w:multiLevelType w:val="hybridMultilevel"/>
    <w:tmpl w:val="268299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12E60A6"/>
    <w:multiLevelType w:val="multilevel"/>
    <w:tmpl w:val="FFC83F3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5117B5"/>
    <w:multiLevelType w:val="hybridMultilevel"/>
    <w:tmpl w:val="5A68A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411E0"/>
    <w:multiLevelType w:val="hybridMultilevel"/>
    <w:tmpl w:val="FEB61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E32A4B"/>
    <w:multiLevelType w:val="hybridMultilevel"/>
    <w:tmpl w:val="89642C98"/>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 w15:restartNumberingAfterBreak="0">
    <w:nsid w:val="548F32BE"/>
    <w:multiLevelType w:val="hybridMultilevel"/>
    <w:tmpl w:val="89642C98"/>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 w15:restartNumberingAfterBreak="0">
    <w:nsid w:val="565306E4"/>
    <w:multiLevelType w:val="hybridMultilevel"/>
    <w:tmpl w:val="37A87C9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A262CC0"/>
    <w:multiLevelType w:val="hybridMultilevel"/>
    <w:tmpl w:val="052CAD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D7924BD"/>
    <w:multiLevelType w:val="hybridMultilevel"/>
    <w:tmpl w:val="3DBC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3265B"/>
    <w:multiLevelType w:val="hybridMultilevel"/>
    <w:tmpl w:val="382C6442"/>
    <w:lvl w:ilvl="0" w:tplc="26363860">
      <w:start w:val="1"/>
      <w:numFmt w:val="decimal"/>
      <w:lvlText w:val="%1."/>
      <w:lvlJc w:val="left"/>
      <w:pPr>
        <w:ind w:left="432" w:hanging="360"/>
      </w:pPr>
      <w:rPr>
        <w:rFonts w:hint="default"/>
      </w:rPr>
    </w:lvl>
    <w:lvl w:ilvl="1" w:tplc="08090019">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6" w15:restartNumberingAfterBreak="0">
    <w:nsid w:val="676F60BC"/>
    <w:multiLevelType w:val="hybridMultilevel"/>
    <w:tmpl w:val="8FB2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4636E"/>
    <w:multiLevelType w:val="hybridMultilevel"/>
    <w:tmpl w:val="9954C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3952912">
    <w:abstractNumId w:val="16"/>
  </w:num>
  <w:num w:numId="2" w16cid:durableId="99836579">
    <w:abstractNumId w:val="0"/>
  </w:num>
  <w:num w:numId="3" w16cid:durableId="1705784937">
    <w:abstractNumId w:val="14"/>
  </w:num>
  <w:num w:numId="4" w16cid:durableId="113066902">
    <w:abstractNumId w:val="15"/>
  </w:num>
  <w:num w:numId="5" w16cid:durableId="957876750">
    <w:abstractNumId w:val="10"/>
  </w:num>
  <w:num w:numId="6" w16cid:durableId="323582762">
    <w:abstractNumId w:val="6"/>
  </w:num>
  <w:num w:numId="7" w16cid:durableId="1297176192">
    <w:abstractNumId w:val="2"/>
  </w:num>
  <w:num w:numId="8" w16cid:durableId="1034158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890048">
    <w:abstractNumId w:val="9"/>
  </w:num>
  <w:num w:numId="10" w16cid:durableId="1932543114">
    <w:abstractNumId w:val="11"/>
  </w:num>
  <w:num w:numId="11" w16cid:durableId="2042854892">
    <w:abstractNumId w:val="8"/>
  </w:num>
  <w:num w:numId="12" w16cid:durableId="1730692611">
    <w:abstractNumId w:val="3"/>
  </w:num>
  <w:num w:numId="13" w16cid:durableId="851188504">
    <w:abstractNumId w:val="1"/>
  </w:num>
  <w:num w:numId="14" w16cid:durableId="1855921337">
    <w:abstractNumId w:val="5"/>
  </w:num>
  <w:num w:numId="15" w16cid:durableId="703753401">
    <w:abstractNumId w:val="17"/>
  </w:num>
  <w:num w:numId="16" w16cid:durableId="2088769689">
    <w:abstractNumId w:val="13"/>
  </w:num>
  <w:num w:numId="17" w16cid:durableId="815267940">
    <w:abstractNumId w:val="12"/>
  </w:num>
  <w:num w:numId="18" w16cid:durableId="43274869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FF"/>
    <w:rsid w:val="00000A1A"/>
    <w:rsid w:val="00001B7F"/>
    <w:rsid w:val="00002513"/>
    <w:rsid w:val="000027A8"/>
    <w:rsid w:val="00002DFA"/>
    <w:rsid w:val="00005B09"/>
    <w:rsid w:val="00006060"/>
    <w:rsid w:val="0001014B"/>
    <w:rsid w:val="000108FF"/>
    <w:rsid w:val="00013C61"/>
    <w:rsid w:val="00013F98"/>
    <w:rsid w:val="000145B5"/>
    <w:rsid w:val="0001526E"/>
    <w:rsid w:val="000209FE"/>
    <w:rsid w:val="0002260E"/>
    <w:rsid w:val="00023455"/>
    <w:rsid w:val="00024491"/>
    <w:rsid w:val="00024692"/>
    <w:rsid w:val="00024853"/>
    <w:rsid w:val="00024DF0"/>
    <w:rsid w:val="000254AC"/>
    <w:rsid w:val="00031ED6"/>
    <w:rsid w:val="00033B07"/>
    <w:rsid w:val="000354FE"/>
    <w:rsid w:val="000367B1"/>
    <w:rsid w:val="00037590"/>
    <w:rsid w:val="00037EB5"/>
    <w:rsid w:val="00040F13"/>
    <w:rsid w:val="00041243"/>
    <w:rsid w:val="0004193C"/>
    <w:rsid w:val="0004381D"/>
    <w:rsid w:val="00043B26"/>
    <w:rsid w:val="00044C0A"/>
    <w:rsid w:val="0004537E"/>
    <w:rsid w:val="000460BA"/>
    <w:rsid w:val="00046298"/>
    <w:rsid w:val="000501CB"/>
    <w:rsid w:val="000518BF"/>
    <w:rsid w:val="000518E7"/>
    <w:rsid w:val="00051EEC"/>
    <w:rsid w:val="000546B6"/>
    <w:rsid w:val="00054FEF"/>
    <w:rsid w:val="000568EC"/>
    <w:rsid w:val="00057F44"/>
    <w:rsid w:val="000612CC"/>
    <w:rsid w:val="000639BB"/>
    <w:rsid w:val="00063CDA"/>
    <w:rsid w:val="00065B36"/>
    <w:rsid w:val="00067B79"/>
    <w:rsid w:val="00071A78"/>
    <w:rsid w:val="0007217E"/>
    <w:rsid w:val="00072CA8"/>
    <w:rsid w:val="00073490"/>
    <w:rsid w:val="000744F2"/>
    <w:rsid w:val="00076CF9"/>
    <w:rsid w:val="00077481"/>
    <w:rsid w:val="00081826"/>
    <w:rsid w:val="000830AE"/>
    <w:rsid w:val="00085858"/>
    <w:rsid w:val="00085AE7"/>
    <w:rsid w:val="0009144D"/>
    <w:rsid w:val="000926B4"/>
    <w:rsid w:val="0009400A"/>
    <w:rsid w:val="00094EE5"/>
    <w:rsid w:val="000A12BE"/>
    <w:rsid w:val="000A2E61"/>
    <w:rsid w:val="000A2ED8"/>
    <w:rsid w:val="000A661C"/>
    <w:rsid w:val="000B551C"/>
    <w:rsid w:val="000B5ECC"/>
    <w:rsid w:val="000C1CCA"/>
    <w:rsid w:val="000C2C51"/>
    <w:rsid w:val="000C2F78"/>
    <w:rsid w:val="000C464F"/>
    <w:rsid w:val="000C745E"/>
    <w:rsid w:val="000D0E11"/>
    <w:rsid w:val="000D14CB"/>
    <w:rsid w:val="000D1839"/>
    <w:rsid w:val="000D332E"/>
    <w:rsid w:val="000D39AE"/>
    <w:rsid w:val="000D6D43"/>
    <w:rsid w:val="000D70C0"/>
    <w:rsid w:val="000D75E7"/>
    <w:rsid w:val="000D7B87"/>
    <w:rsid w:val="000E0B1F"/>
    <w:rsid w:val="000E146D"/>
    <w:rsid w:val="000E3CA4"/>
    <w:rsid w:val="000E516C"/>
    <w:rsid w:val="000E52F1"/>
    <w:rsid w:val="000E61BA"/>
    <w:rsid w:val="000E66C5"/>
    <w:rsid w:val="000E6FAF"/>
    <w:rsid w:val="000E7D8D"/>
    <w:rsid w:val="000F2DB7"/>
    <w:rsid w:val="000F68AA"/>
    <w:rsid w:val="00101F7D"/>
    <w:rsid w:val="00102262"/>
    <w:rsid w:val="00104461"/>
    <w:rsid w:val="00104E25"/>
    <w:rsid w:val="001051FF"/>
    <w:rsid w:val="00106047"/>
    <w:rsid w:val="00107090"/>
    <w:rsid w:val="00107CE9"/>
    <w:rsid w:val="00107CFB"/>
    <w:rsid w:val="00110F3D"/>
    <w:rsid w:val="001136FB"/>
    <w:rsid w:val="00113DE8"/>
    <w:rsid w:val="00115384"/>
    <w:rsid w:val="0011795B"/>
    <w:rsid w:val="001217F6"/>
    <w:rsid w:val="00121917"/>
    <w:rsid w:val="001236D3"/>
    <w:rsid w:val="0012591A"/>
    <w:rsid w:val="001279E2"/>
    <w:rsid w:val="0013247B"/>
    <w:rsid w:val="001360E2"/>
    <w:rsid w:val="00141F5E"/>
    <w:rsid w:val="0014540E"/>
    <w:rsid w:val="001463F9"/>
    <w:rsid w:val="0014793B"/>
    <w:rsid w:val="001504DA"/>
    <w:rsid w:val="00150D0E"/>
    <w:rsid w:val="001510A4"/>
    <w:rsid w:val="0015144F"/>
    <w:rsid w:val="00152968"/>
    <w:rsid w:val="00153249"/>
    <w:rsid w:val="0015515F"/>
    <w:rsid w:val="00155C39"/>
    <w:rsid w:val="00156568"/>
    <w:rsid w:val="00156FB1"/>
    <w:rsid w:val="00161287"/>
    <w:rsid w:val="0016713A"/>
    <w:rsid w:val="001671B2"/>
    <w:rsid w:val="00167431"/>
    <w:rsid w:val="001719C2"/>
    <w:rsid w:val="0017296C"/>
    <w:rsid w:val="00175AFF"/>
    <w:rsid w:val="0017766F"/>
    <w:rsid w:val="00177CCE"/>
    <w:rsid w:val="0018471B"/>
    <w:rsid w:val="00184C65"/>
    <w:rsid w:val="00184E48"/>
    <w:rsid w:val="0018559C"/>
    <w:rsid w:val="00185BD7"/>
    <w:rsid w:val="00186883"/>
    <w:rsid w:val="001869A7"/>
    <w:rsid w:val="00190F5E"/>
    <w:rsid w:val="00193686"/>
    <w:rsid w:val="00193FEB"/>
    <w:rsid w:val="001A6861"/>
    <w:rsid w:val="001B0698"/>
    <w:rsid w:val="001B3C17"/>
    <w:rsid w:val="001B4321"/>
    <w:rsid w:val="001B4813"/>
    <w:rsid w:val="001B699B"/>
    <w:rsid w:val="001B6E11"/>
    <w:rsid w:val="001B7326"/>
    <w:rsid w:val="001C01DD"/>
    <w:rsid w:val="001C0CFB"/>
    <w:rsid w:val="001C11E8"/>
    <w:rsid w:val="001C597F"/>
    <w:rsid w:val="001C7162"/>
    <w:rsid w:val="001D0286"/>
    <w:rsid w:val="001D087D"/>
    <w:rsid w:val="001D21F0"/>
    <w:rsid w:val="001D4F1D"/>
    <w:rsid w:val="001D65E3"/>
    <w:rsid w:val="001D6B2C"/>
    <w:rsid w:val="001D7559"/>
    <w:rsid w:val="001E03DA"/>
    <w:rsid w:val="001E2245"/>
    <w:rsid w:val="001E27F3"/>
    <w:rsid w:val="001E4341"/>
    <w:rsid w:val="001E525D"/>
    <w:rsid w:val="001E59B1"/>
    <w:rsid w:val="001F0EAB"/>
    <w:rsid w:val="001F1471"/>
    <w:rsid w:val="001F28EE"/>
    <w:rsid w:val="001F38DA"/>
    <w:rsid w:val="001F500F"/>
    <w:rsid w:val="001F51E8"/>
    <w:rsid w:val="001F5EC1"/>
    <w:rsid w:val="001F5F89"/>
    <w:rsid w:val="001F7AB9"/>
    <w:rsid w:val="00200AFB"/>
    <w:rsid w:val="00200C5C"/>
    <w:rsid w:val="00200DF2"/>
    <w:rsid w:val="00205768"/>
    <w:rsid w:val="00210F84"/>
    <w:rsid w:val="002114D6"/>
    <w:rsid w:val="002137F5"/>
    <w:rsid w:val="002168B3"/>
    <w:rsid w:val="00217572"/>
    <w:rsid w:val="002178E5"/>
    <w:rsid w:val="00222346"/>
    <w:rsid w:val="00222CFB"/>
    <w:rsid w:val="002239DB"/>
    <w:rsid w:val="002245C2"/>
    <w:rsid w:val="00224897"/>
    <w:rsid w:val="002249B0"/>
    <w:rsid w:val="00224BB0"/>
    <w:rsid w:val="00227D41"/>
    <w:rsid w:val="0023261E"/>
    <w:rsid w:val="002327D3"/>
    <w:rsid w:val="0023332F"/>
    <w:rsid w:val="00233B27"/>
    <w:rsid w:val="00235E65"/>
    <w:rsid w:val="002419E0"/>
    <w:rsid w:val="00247B38"/>
    <w:rsid w:val="00250887"/>
    <w:rsid w:val="002528C7"/>
    <w:rsid w:val="002536E8"/>
    <w:rsid w:val="00254633"/>
    <w:rsid w:val="002608E0"/>
    <w:rsid w:val="00260AEF"/>
    <w:rsid w:val="00261262"/>
    <w:rsid w:val="00261623"/>
    <w:rsid w:val="00261DEB"/>
    <w:rsid w:val="00262E67"/>
    <w:rsid w:val="00265617"/>
    <w:rsid w:val="00266662"/>
    <w:rsid w:val="00270303"/>
    <w:rsid w:val="00270323"/>
    <w:rsid w:val="00270E21"/>
    <w:rsid w:val="00272010"/>
    <w:rsid w:val="002749C8"/>
    <w:rsid w:val="0027556E"/>
    <w:rsid w:val="002779E7"/>
    <w:rsid w:val="00281253"/>
    <w:rsid w:val="0028615E"/>
    <w:rsid w:val="0028636C"/>
    <w:rsid w:val="00286744"/>
    <w:rsid w:val="00291C71"/>
    <w:rsid w:val="0029238B"/>
    <w:rsid w:val="002936D2"/>
    <w:rsid w:val="00296EBE"/>
    <w:rsid w:val="002A25C0"/>
    <w:rsid w:val="002A2A59"/>
    <w:rsid w:val="002A2CFB"/>
    <w:rsid w:val="002A5A63"/>
    <w:rsid w:val="002A5E31"/>
    <w:rsid w:val="002A7F9E"/>
    <w:rsid w:val="002B079F"/>
    <w:rsid w:val="002B14E4"/>
    <w:rsid w:val="002B1F0C"/>
    <w:rsid w:val="002B2C4C"/>
    <w:rsid w:val="002B39DE"/>
    <w:rsid w:val="002B5652"/>
    <w:rsid w:val="002B6DD5"/>
    <w:rsid w:val="002B7029"/>
    <w:rsid w:val="002B7734"/>
    <w:rsid w:val="002C0886"/>
    <w:rsid w:val="002C0A27"/>
    <w:rsid w:val="002C0F02"/>
    <w:rsid w:val="002C29B2"/>
    <w:rsid w:val="002C4378"/>
    <w:rsid w:val="002C7E17"/>
    <w:rsid w:val="002C7F40"/>
    <w:rsid w:val="002D0C77"/>
    <w:rsid w:val="002D0F5C"/>
    <w:rsid w:val="002D367B"/>
    <w:rsid w:val="002D3F5B"/>
    <w:rsid w:val="002D61EB"/>
    <w:rsid w:val="002D78FF"/>
    <w:rsid w:val="002E0C9E"/>
    <w:rsid w:val="002E0CF6"/>
    <w:rsid w:val="002F22CC"/>
    <w:rsid w:val="002F4096"/>
    <w:rsid w:val="002F4837"/>
    <w:rsid w:val="002F4B44"/>
    <w:rsid w:val="002F59BC"/>
    <w:rsid w:val="002F5E64"/>
    <w:rsid w:val="002F65C3"/>
    <w:rsid w:val="002F72EC"/>
    <w:rsid w:val="003005CF"/>
    <w:rsid w:val="003008DB"/>
    <w:rsid w:val="00301152"/>
    <w:rsid w:val="0031143B"/>
    <w:rsid w:val="00312ADB"/>
    <w:rsid w:val="003200CB"/>
    <w:rsid w:val="00325C45"/>
    <w:rsid w:val="003260C7"/>
    <w:rsid w:val="00327F0C"/>
    <w:rsid w:val="003302BE"/>
    <w:rsid w:val="00331A44"/>
    <w:rsid w:val="00334939"/>
    <w:rsid w:val="003365A7"/>
    <w:rsid w:val="00337BA1"/>
    <w:rsid w:val="00342EB0"/>
    <w:rsid w:val="0034388F"/>
    <w:rsid w:val="00344069"/>
    <w:rsid w:val="00345320"/>
    <w:rsid w:val="00347BC6"/>
    <w:rsid w:val="00352DBB"/>
    <w:rsid w:val="00355573"/>
    <w:rsid w:val="00356307"/>
    <w:rsid w:val="0036058C"/>
    <w:rsid w:val="00361BC1"/>
    <w:rsid w:val="003621E5"/>
    <w:rsid w:val="0036408E"/>
    <w:rsid w:val="00367D28"/>
    <w:rsid w:val="00367F13"/>
    <w:rsid w:val="00370B19"/>
    <w:rsid w:val="00371A61"/>
    <w:rsid w:val="0037387C"/>
    <w:rsid w:val="00375E30"/>
    <w:rsid w:val="00381F6D"/>
    <w:rsid w:val="00382486"/>
    <w:rsid w:val="00383955"/>
    <w:rsid w:val="003840BE"/>
    <w:rsid w:val="00384837"/>
    <w:rsid w:val="003851FB"/>
    <w:rsid w:val="00387201"/>
    <w:rsid w:val="00395844"/>
    <w:rsid w:val="00395AE5"/>
    <w:rsid w:val="003A172C"/>
    <w:rsid w:val="003A1D32"/>
    <w:rsid w:val="003A2AAF"/>
    <w:rsid w:val="003A4AB8"/>
    <w:rsid w:val="003A5411"/>
    <w:rsid w:val="003A54C2"/>
    <w:rsid w:val="003A5F24"/>
    <w:rsid w:val="003B073B"/>
    <w:rsid w:val="003B12E9"/>
    <w:rsid w:val="003B1680"/>
    <w:rsid w:val="003B3BC9"/>
    <w:rsid w:val="003B5513"/>
    <w:rsid w:val="003C08F3"/>
    <w:rsid w:val="003C101F"/>
    <w:rsid w:val="003C2740"/>
    <w:rsid w:val="003C2AE0"/>
    <w:rsid w:val="003C37D8"/>
    <w:rsid w:val="003C7197"/>
    <w:rsid w:val="003D11C3"/>
    <w:rsid w:val="003D74E9"/>
    <w:rsid w:val="003D7E38"/>
    <w:rsid w:val="003E0E65"/>
    <w:rsid w:val="003E22A5"/>
    <w:rsid w:val="003E5DCA"/>
    <w:rsid w:val="003E66EA"/>
    <w:rsid w:val="003F221B"/>
    <w:rsid w:val="003F3233"/>
    <w:rsid w:val="003F3C50"/>
    <w:rsid w:val="003F3EC2"/>
    <w:rsid w:val="003F5E69"/>
    <w:rsid w:val="003F623B"/>
    <w:rsid w:val="00401AEC"/>
    <w:rsid w:val="00403F7F"/>
    <w:rsid w:val="0040486C"/>
    <w:rsid w:val="00404DCA"/>
    <w:rsid w:val="00406EA1"/>
    <w:rsid w:val="00410D67"/>
    <w:rsid w:val="00412EF6"/>
    <w:rsid w:val="0041386E"/>
    <w:rsid w:val="004145E4"/>
    <w:rsid w:val="004165EA"/>
    <w:rsid w:val="00416ED6"/>
    <w:rsid w:val="0042049E"/>
    <w:rsid w:val="004204F2"/>
    <w:rsid w:val="00421113"/>
    <w:rsid w:val="0042458A"/>
    <w:rsid w:val="004269BD"/>
    <w:rsid w:val="004269D7"/>
    <w:rsid w:val="00432B93"/>
    <w:rsid w:val="00432D0F"/>
    <w:rsid w:val="00434AC8"/>
    <w:rsid w:val="00435AA4"/>
    <w:rsid w:val="00435EB2"/>
    <w:rsid w:val="004401B6"/>
    <w:rsid w:val="004408FA"/>
    <w:rsid w:val="00441AE9"/>
    <w:rsid w:val="004424C6"/>
    <w:rsid w:val="00443F3C"/>
    <w:rsid w:val="00444248"/>
    <w:rsid w:val="00444770"/>
    <w:rsid w:val="00445258"/>
    <w:rsid w:val="0044735F"/>
    <w:rsid w:val="00447D86"/>
    <w:rsid w:val="00447D99"/>
    <w:rsid w:val="004501D0"/>
    <w:rsid w:val="00453C15"/>
    <w:rsid w:val="004543F3"/>
    <w:rsid w:val="0045502A"/>
    <w:rsid w:val="0046129D"/>
    <w:rsid w:val="00462741"/>
    <w:rsid w:val="004646AA"/>
    <w:rsid w:val="00465AA0"/>
    <w:rsid w:val="004717DF"/>
    <w:rsid w:val="0047270D"/>
    <w:rsid w:val="00472C5C"/>
    <w:rsid w:val="004747C8"/>
    <w:rsid w:val="00483790"/>
    <w:rsid w:val="0048527F"/>
    <w:rsid w:val="004863EC"/>
    <w:rsid w:val="004872A1"/>
    <w:rsid w:val="004878E8"/>
    <w:rsid w:val="0049309E"/>
    <w:rsid w:val="00494A98"/>
    <w:rsid w:val="0049557D"/>
    <w:rsid w:val="004965FF"/>
    <w:rsid w:val="00496B4F"/>
    <w:rsid w:val="0049771F"/>
    <w:rsid w:val="004A031F"/>
    <w:rsid w:val="004A21B1"/>
    <w:rsid w:val="004A3195"/>
    <w:rsid w:val="004A358D"/>
    <w:rsid w:val="004B281E"/>
    <w:rsid w:val="004B3196"/>
    <w:rsid w:val="004B5B47"/>
    <w:rsid w:val="004B6734"/>
    <w:rsid w:val="004B79E7"/>
    <w:rsid w:val="004C04E6"/>
    <w:rsid w:val="004C16EE"/>
    <w:rsid w:val="004C1984"/>
    <w:rsid w:val="004C22CB"/>
    <w:rsid w:val="004C2563"/>
    <w:rsid w:val="004C4A4B"/>
    <w:rsid w:val="004C508A"/>
    <w:rsid w:val="004C6C95"/>
    <w:rsid w:val="004C75F7"/>
    <w:rsid w:val="004D4489"/>
    <w:rsid w:val="004D55B5"/>
    <w:rsid w:val="004D68CD"/>
    <w:rsid w:val="004D7FBC"/>
    <w:rsid w:val="004E1FAC"/>
    <w:rsid w:val="004E2319"/>
    <w:rsid w:val="004E38CA"/>
    <w:rsid w:val="004E6C74"/>
    <w:rsid w:val="004E710E"/>
    <w:rsid w:val="004F18BC"/>
    <w:rsid w:val="004F2F36"/>
    <w:rsid w:val="004F34D6"/>
    <w:rsid w:val="004F604F"/>
    <w:rsid w:val="004F6932"/>
    <w:rsid w:val="004F6AA6"/>
    <w:rsid w:val="004F7D06"/>
    <w:rsid w:val="00500C42"/>
    <w:rsid w:val="00501735"/>
    <w:rsid w:val="00501855"/>
    <w:rsid w:val="005030FD"/>
    <w:rsid w:val="00503177"/>
    <w:rsid w:val="005057A0"/>
    <w:rsid w:val="00510350"/>
    <w:rsid w:val="005118B8"/>
    <w:rsid w:val="00512C58"/>
    <w:rsid w:val="00516B7F"/>
    <w:rsid w:val="005178F9"/>
    <w:rsid w:val="00517DA8"/>
    <w:rsid w:val="00520212"/>
    <w:rsid w:val="005205B0"/>
    <w:rsid w:val="00524B40"/>
    <w:rsid w:val="00525293"/>
    <w:rsid w:val="00535135"/>
    <w:rsid w:val="00540F47"/>
    <w:rsid w:val="00542BC6"/>
    <w:rsid w:val="0054637E"/>
    <w:rsid w:val="005503F5"/>
    <w:rsid w:val="005505AE"/>
    <w:rsid w:val="005535BF"/>
    <w:rsid w:val="00553609"/>
    <w:rsid w:val="00553813"/>
    <w:rsid w:val="0055477C"/>
    <w:rsid w:val="00554F4D"/>
    <w:rsid w:val="00555629"/>
    <w:rsid w:val="005573E9"/>
    <w:rsid w:val="00560921"/>
    <w:rsid w:val="005630F9"/>
    <w:rsid w:val="005636C1"/>
    <w:rsid w:val="00563718"/>
    <w:rsid w:val="00564BC5"/>
    <w:rsid w:val="00566AE8"/>
    <w:rsid w:val="005728F4"/>
    <w:rsid w:val="0057648B"/>
    <w:rsid w:val="00577595"/>
    <w:rsid w:val="00577A7F"/>
    <w:rsid w:val="0058044B"/>
    <w:rsid w:val="005826B3"/>
    <w:rsid w:val="00582AB2"/>
    <w:rsid w:val="005848AF"/>
    <w:rsid w:val="005852B6"/>
    <w:rsid w:val="00590695"/>
    <w:rsid w:val="00594C7A"/>
    <w:rsid w:val="0059533E"/>
    <w:rsid w:val="00596AEE"/>
    <w:rsid w:val="00596B7A"/>
    <w:rsid w:val="005A2520"/>
    <w:rsid w:val="005A2B60"/>
    <w:rsid w:val="005A33FD"/>
    <w:rsid w:val="005A48F7"/>
    <w:rsid w:val="005A5117"/>
    <w:rsid w:val="005A55A1"/>
    <w:rsid w:val="005B0748"/>
    <w:rsid w:val="005B21DC"/>
    <w:rsid w:val="005B7CC9"/>
    <w:rsid w:val="005C01DD"/>
    <w:rsid w:val="005C085F"/>
    <w:rsid w:val="005C1375"/>
    <w:rsid w:val="005C32A1"/>
    <w:rsid w:val="005C6CFF"/>
    <w:rsid w:val="005C76B8"/>
    <w:rsid w:val="005D5CF2"/>
    <w:rsid w:val="005D693E"/>
    <w:rsid w:val="005D7BC6"/>
    <w:rsid w:val="005E05AC"/>
    <w:rsid w:val="005E0786"/>
    <w:rsid w:val="005E19B1"/>
    <w:rsid w:val="005E1F45"/>
    <w:rsid w:val="005E2260"/>
    <w:rsid w:val="005E4472"/>
    <w:rsid w:val="005E7143"/>
    <w:rsid w:val="005E7C83"/>
    <w:rsid w:val="005F2D4C"/>
    <w:rsid w:val="005F534E"/>
    <w:rsid w:val="005F54AA"/>
    <w:rsid w:val="00601A35"/>
    <w:rsid w:val="006100F8"/>
    <w:rsid w:val="00610A24"/>
    <w:rsid w:val="006118A7"/>
    <w:rsid w:val="0061412D"/>
    <w:rsid w:val="00621ECB"/>
    <w:rsid w:val="00626B4B"/>
    <w:rsid w:val="00631126"/>
    <w:rsid w:val="00633A2B"/>
    <w:rsid w:val="00633C17"/>
    <w:rsid w:val="006341FB"/>
    <w:rsid w:val="00635B86"/>
    <w:rsid w:val="00641361"/>
    <w:rsid w:val="006413B4"/>
    <w:rsid w:val="006423D8"/>
    <w:rsid w:val="00643151"/>
    <w:rsid w:val="00644F02"/>
    <w:rsid w:val="0064781C"/>
    <w:rsid w:val="00647E34"/>
    <w:rsid w:val="006517EC"/>
    <w:rsid w:val="00652333"/>
    <w:rsid w:val="00652BEA"/>
    <w:rsid w:val="00653FAC"/>
    <w:rsid w:val="006566C4"/>
    <w:rsid w:val="006567ED"/>
    <w:rsid w:val="006600B5"/>
    <w:rsid w:val="00660EC1"/>
    <w:rsid w:val="006623A7"/>
    <w:rsid w:val="00662E0F"/>
    <w:rsid w:val="00665B27"/>
    <w:rsid w:val="0066669B"/>
    <w:rsid w:val="0066756D"/>
    <w:rsid w:val="006677B1"/>
    <w:rsid w:val="006732FA"/>
    <w:rsid w:val="00673587"/>
    <w:rsid w:val="00680136"/>
    <w:rsid w:val="00680C8B"/>
    <w:rsid w:val="00681B56"/>
    <w:rsid w:val="006865EF"/>
    <w:rsid w:val="006877C8"/>
    <w:rsid w:val="006909D8"/>
    <w:rsid w:val="00690A40"/>
    <w:rsid w:val="00690DB2"/>
    <w:rsid w:val="006915CE"/>
    <w:rsid w:val="00697174"/>
    <w:rsid w:val="0069733B"/>
    <w:rsid w:val="006A1617"/>
    <w:rsid w:val="006A2789"/>
    <w:rsid w:val="006A48EB"/>
    <w:rsid w:val="006A647F"/>
    <w:rsid w:val="006A6769"/>
    <w:rsid w:val="006B018F"/>
    <w:rsid w:val="006B21BB"/>
    <w:rsid w:val="006B27E8"/>
    <w:rsid w:val="006B4AE2"/>
    <w:rsid w:val="006B4C24"/>
    <w:rsid w:val="006B6CCD"/>
    <w:rsid w:val="006C1CD5"/>
    <w:rsid w:val="006C35C3"/>
    <w:rsid w:val="006C59AB"/>
    <w:rsid w:val="006C5B4F"/>
    <w:rsid w:val="006C686A"/>
    <w:rsid w:val="006C7ABD"/>
    <w:rsid w:val="006D0019"/>
    <w:rsid w:val="006D15C8"/>
    <w:rsid w:val="006D4046"/>
    <w:rsid w:val="006D686D"/>
    <w:rsid w:val="006D7CF6"/>
    <w:rsid w:val="006D7D6C"/>
    <w:rsid w:val="006E05DF"/>
    <w:rsid w:val="006E0787"/>
    <w:rsid w:val="006E1910"/>
    <w:rsid w:val="006E3503"/>
    <w:rsid w:val="006E3BB0"/>
    <w:rsid w:val="006E4215"/>
    <w:rsid w:val="006E436B"/>
    <w:rsid w:val="006E47F8"/>
    <w:rsid w:val="006E661A"/>
    <w:rsid w:val="006E7E3D"/>
    <w:rsid w:val="006F0F11"/>
    <w:rsid w:val="006F13FB"/>
    <w:rsid w:val="006F1FC4"/>
    <w:rsid w:val="006F2912"/>
    <w:rsid w:val="006F4830"/>
    <w:rsid w:val="006F7DCD"/>
    <w:rsid w:val="007003B9"/>
    <w:rsid w:val="00701098"/>
    <w:rsid w:val="0070112F"/>
    <w:rsid w:val="007024CC"/>
    <w:rsid w:val="0070385B"/>
    <w:rsid w:val="00705340"/>
    <w:rsid w:val="007107A7"/>
    <w:rsid w:val="00711C91"/>
    <w:rsid w:val="00713514"/>
    <w:rsid w:val="0071415D"/>
    <w:rsid w:val="00716083"/>
    <w:rsid w:val="0071671E"/>
    <w:rsid w:val="007167FA"/>
    <w:rsid w:val="00725876"/>
    <w:rsid w:val="00731189"/>
    <w:rsid w:val="00732293"/>
    <w:rsid w:val="007337DF"/>
    <w:rsid w:val="00735491"/>
    <w:rsid w:val="00737CB8"/>
    <w:rsid w:val="00740566"/>
    <w:rsid w:val="00741F82"/>
    <w:rsid w:val="00744C2D"/>
    <w:rsid w:val="00744ED7"/>
    <w:rsid w:val="00745ECF"/>
    <w:rsid w:val="0074624B"/>
    <w:rsid w:val="00747FE4"/>
    <w:rsid w:val="00752133"/>
    <w:rsid w:val="00754161"/>
    <w:rsid w:val="007570A9"/>
    <w:rsid w:val="00757F05"/>
    <w:rsid w:val="0076156C"/>
    <w:rsid w:val="00762CBE"/>
    <w:rsid w:val="00765C48"/>
    <w:rsid w:val="007660FC"/>
    <w:rsid w:val="007672DC"/>
    <w:rsid w:val="0076793D"/>
    <w:rsid w:val="00771556"/>
    <w:rsid w:val="00771741"/>
    <w:rsid w:val="007719E2"/>
    <w:rsid w:val="00772275"/>
    <w:rsid w:val="00774D7D"/>
    <w:rsid w:val="00776046"/>
    <w:rsid w:val="0077623F"/>
    <w:rsid w:val="00776527"/>
    <w:rsid w:val="0078118C"/>
    <w:rsid w:val="00781287"/>
    <w:rsid w:val="00784B4B"/>
    <w:rsid w:val="00786ECB"/>
    <w:rsid w:val="0078768E"/>
    <w:rsid w:val="0079033A"/>
    <w:rsid w:val="007904AA"/>
    <w:rsid w:val="0079142D"/>
    <w:rsid w:val="00792FA6"/>
    <w:rsid w:val="007962A3"/>
    <w:rsid w:val="007974B7"/>
    <w:rsid w:val="007A06D0"/>
    <w:rsid w:val="007A1FB4"/>
    <w:rsid w:val="007A2903"/>
    <w:rsid w:val="007A3920"/>
    <w:rsid w:val="007A5D1F"/>
    <w:rsid w:val="007A5F85"/>
    <w:rsid w:val="007A67C1"/>
    <w:rsid w:val="007B1E1A"/>
    <w:rsid w:val="007B5AEE"/>
    <w:rsid w:val="007B5D1C"/>
    <w:rsid w:val="007C15E4"/>
    <w:rsid w:val="007C65CD"/>
    <w:rsid w:val="007C6F4C"/>
    <w:rsid w:val="007C7B6D"/>
    <w:rsid w:val="007D062B"/>
    <w:rsid w:val="007D6D25"/>
    <w:rsid w:val="007D7AD1"/>
    <w:rsid w:val="007E19F4"/>
    <w:rsid w:val="007E46FB"/>
    <w:rsid w:val="007E4D7C"/>
    <w:rsid w:val="007E5DC8"/>
    <w:rsid w:val="007E7A50"/>
    <w:rsid w:val="007E7E1E"/>
    <w:rsid w:val="007F07F9"/>
    <w:rsid w:val="007F0BB8"/>
    <w:rsid w:val="007F3262"/>
    <w:rsid w:val="007F66E2"/>
    <w:rsid w:val="007F73B0"/>
    <w:rsid w:val="008072E2"/>
    <w:rsid w:val="00807552"/>
    <w:rsid w:val="00812079"/>
    <w:rsid w:val="00813863"/>
    <w:rsid w:val="008147E6"/>
    <w:rsid w:val="0081499D"/>
    <w:rsid w:val="00816F2A"/>
    <w:rsid w:val="00816F3C"/>
    <w:rsid w:val="00824293"/>
    <w:rsid w:val="00824CD5"/>
    <w:rsid w:val="00824D85"/>
    <w:rsid w:val="00825CCC"/>
    <w:rsid w:val="00826351"/>
    <w:rsid w:val="00826A5B"/>
    <w:rsid w:val="00827658"/>
    <w:rsid w:val="0083143F"/>
    <w:rsid w:val="00831729"/>
    <w:rsid w:val="0083400A"/>
    <w:rsid w:val="00834B75"/>
    <w:rsid w:val="00835336"/>
    <w:rsid w:val="00840CB6"/>
    <w:rsid w:val="00845904"/>
    <w:rsid w:val="00846B87"/>
    <w:rsid w:val="00847C14"/>
    <w:rsid w:val="00847FF8"/>
    <w:rsid w:val="00850BF5"/>
    <w:rsid w:val="00851BFF"/>
    <w:rsid w:val="00853547"/>
    <w:rsid w:val="00854C5D"/>
    <w:rsid w:val="00855355"/>
    <w:rsid w:val="00855EB8"/>
    <w:rsid w:val="00857BE8"/>
    <w:rsid w:val="00860AA6"/>
    <w:rsid w:val="00860C48"/>
    <w:rsid w:val="00861E29"/>
    <w:rsid w:val="00864E68"/>
    <w:rsid w:val="008651E5"/>
    <w:rsid w:val="008665BC"/>
    <w:rsid w:val="00871AC3"/>
    <w:rsid w:val="00872DE5"/>
    <w:rsid w:val="00873ED4"/>
    <w:rsid w:val="008758EC"/>
    <w:rsid w:val="0087743C"/>
    <w:rsid w:val="00877A9F"/>
    <w:rsid w:val="00880ECF"/>
    <w:rsid w:val="008839F7"/>
    <w:rsid w:val="00887639"/>
    <w:rsid w:val="00893156"/>
    <w:rsid w:val="0089372F"/>
    <w:rsid w:val="00894909"/>
    <w:rsid w:val="00894FF0"/>
    <w:rsid w:val="00896D1B"/>
    <w:rsid w:val="008A0392"/>
    <w:rsid w:val="008A1C02"/>
    <w:rsid w:val="008A3DB7"/>
    <w:rsid w:val="008A4F0B"/>
    <w:rsid w:val="008A6448"/>
    <w:rsid w:val="008A71EE"/>
    <w:rsid w:val="008A7A87"/>
    <w:rsid w:val="008B5835"/>
    <w:rsid w:val="008B5FBA"/>
    <w:rsid w:val="008B6FAC"/>
    <w:rsid w:val="008C27E8"/>
    <w:rsid w:val="008C482B"/>
    <w:rsid w:val="008C5EA1"/>
    <w:rsid w:val="008D0040"/>
    <w:rsid w:val="008D078C"/>
    <w:rsid w:val="008D08BC"/>
    <w:rsid w:val="008D14A6"/>
    <w:rsid w:val="008D33C9"/>
    <w:rsid w:val="008D3CFB"/>
    <w:rsid w:val="008D63C3"/>
    <w:rsid w:val="008E0064"/>
    <w:rsid w:val="008E38A8"/>
    <w:rsid w:val="008E3A7A"/>
    <w:rsid w:val="008F087F"/>
    <w:rsid w:val="008F1735"/>
    <w:rsid w:val="008F2774"/>
    <w:rsid w:val="00902BF5"/>
    <w:rsid w:val="009047BA"/>
    <w:rsid w:val="0090637F"/>
    <w:rsid w:val="00912AF0"/>
    <w:rsid w:val="00913D44"/>
    <w:rsid w:val="009161F3"/>
    <w:rsid w:val="00917012"/>
    <w:rsid w:val="0092216A"/>
    <w:rsid w:val="0092329D"/>
    <w:rsid w:val="00923518"/>
    <w:rsid w:val="009248E5"/>
    <w:rsid w:val="00924AAE"/>
    <w:rsid w:val="00930ECE"/>
    <w:rsid w:val="009314D9"/>
    <w:rsid w:val="00933156"/>
    <w:rsid w:val="009336C0"/>
    <w:rsid w:val="00933A98"/>
    <w:rsid w:val="009342DD"/>
    <w:rsid w:val="00934FED"/>
    <w:rsid w:val="00937455"/>
    <w:rsid w:val="0094050B"/>
    <w:rsid w:val="00941070"/>
    <w:rsid w:val="009412FD"/>
    <w:rsid w:val="009421EB"/>
    <w:rsid w:val="009422AD"/>
    <w:rsid w:val="00946BE6"/>
    <w:rsid w:val="00947CFE"/>
    <w:rsid w:val="0095100D"/>
    <w:rsid w:val="009511C5"/>
    <w:rsid w:val="00951259"/>
    <w:rsid w:val="00952680"/>
    <w:rsid w:val="00952894"/>
    <w:rsid w:val="00952977"/>
    <w:rsid w:val="00952C0E"/>
    <w:rsid w:val="00955886"/>
    <w:rsid w:val="00956F19"/>
    <w:rsid w:val="00962098"/>
    <w:rsid w:val="009674C4"/>
    <w:rsid w:val="00970EA5"/>
    <w:rsid w:val="00971B92"/>
    <w:rsid w:val="00972715"/>
    <w:rsid w:val="0097338C"/>
    <w:rsid w:val="00973B79"/>
    <w:rsid w:val="00976836"/>
    <w:rsid w:val="00980479"/>
    <w:rsid w:val="00980E51"/>
    <w:rsid w:val="00983BE4"/>
    <w:rsid w:val="00985059"/>
    <w:rsid w:val="00985168"/>
    <w:rsid w:val="009858A4"/>
    <w:rsid w:val="009869E6"/>
    <w:rsid w:val="00992901"/>
    <w:rsid w:val="00995F6B"/>
    <w:rsid w:val="009965A7"/>
    <w:rsid w:val="009A038F"/>
    <w:rsid w:val="009A0C54"/>
    <w:rsid w:val="009A1D07"/>
    <w:rsid w:val="009A3BF2"/>
    <w:rsid w:val="009A3DCD"/>
    <w:rsid w:val="009A5C44"/>
    <w:rsid w:val="009A7C3C"/>
    <w:rsid w:val="009A7CA6"/>
    <w:rsid w:val="009B06BE"/>
    <w:rsid w:val="009B23C0"/>
    <w:rsid w:val="009B29AB"/>
    <w:rsid w:val="009B3A8E"/>
    <w:rsid w:val="009B3EF1"/>
    <w:rsid w:val="009B4491"/>
    <w:rsid w:val="009B5BF1"/>
    <w:rsid w:val="009B6097"/>
    <w:rsid w:val="009B661C"/>
    <w:rsid w:val="009B6BAC"/>
    <w:rsid w:val="009B79B7"/>
    <w:rsid w:val="009C1981"/>
    <w:rsid w:val="009C1FC4"/>
    <w:rsid w:val="009C298B"/>
    <w:rsid w:val="009C4CE9"/>
    <w:rsid w:val="009C66E6"/>
    <w:rsid w:val="009C7612"/>
    <w:rsid w:val="009D3376"/>
    <w:rsid w:val="009D3E6F"/>
    <w:rsid w:val="009D5CC4"/>
    <w:rsid w:val="009D78D2"/>
    <w:rsid w:val="009E1FD3"/>
    <w:rsid w:val="009E227A"/>
    <w:rsid w:val="009E3D65"/>
    <w:rsid w:val="009E3FD0"/>
    <w:rsid w:val="009E6522"/>
    <w:rsid w:val="009E6533"/>
    <w:rsid w:val="009E6CD5"/>
    <w:rsid w:val="009E7ED7"/>
    <w:rsid w:val="009F11AF"/>
    <w:rsid w:val="009F253A"/>
    <w:rsid w:val="009F3D47"/>
    <w:rsid w:val="009F5E60"/>
    <w:rsid w:val="009F6515"/>
    <w:rsid w:val="009F6B50"/>
    <w:rsid w:val="00A03481"/>
    <w:rsid w:val="00A06CC8"/>
    <w:rsid w:val="00A10A5F"/>
    <w:rsid w:val="00A11BF0"/>
    <w:rsid w:val="00A1363B"/>
    <w:rsid w:val="00A149D0"/>
    <w:rsid w:val="00A14CAE"/>
    <w:rsid w:val="00A15EFE"/>
    <w:rsid w:val="00A215EA"/>
    <w:rsid w:val="00A238DF"/>
    <w:rsid w:val="00A25D91"/>
    <w:rsid w:val="00A302EA"/>
    <w:rsid w:val="00A30EB5"/>
    <w:rsid w:val="00A32233"/>
    <w:rsid w:val="00A33878"/>
    <w:rsid w:val="00A36111"/>
    <w:rsid w:val="00A36467"/>
    <w:rsid w:val="00A373C7"/>
    <w:rsid w:val="00A40410"/>
    <w:rsid w:val="00A436CA"/>
    <w:rsid w:val="00A445F9"/>
    <w:rsid w:val="00A475CC"/>
    <w:rsid w:val="00A4792A"/>
    <w:rsid w:val="00A5177B"/>
    <w:rsid w:val="00A51D99"/>
    <w:rsid w:val="00A51E68"/>
    <w:rsid w:val="00A52B5A"/>
    <w:rsid w:val="00A532A2"/>
    <w:rsid w:val="00A54A82"/>
    <w:rsid w:val="00A555D1"/>
    <w:rsid w:val="00A559E9"/>
    <w:rsid w:val="00A575F4"/>
    <w:rsid w:val="00A61A58"/>
    <w:rsid w:val="00A62001"/>
    <w:rsid w:val="00A62E4C"/>
    <w:rsid w:val="00A6322F"/>
    <w:rsid w:val="00A66653"/>
    <w:rsid w:val="00A666DF"/>
    <w:rsid w:val="00A709FC"/>
    <w:rsid w:val="00A7151C"/>
    <w:rsid w:val="00A71FA5"/>
    <w:rsid w:val="00A72AA3"/>
    <w:rsid w:val="00A72D60"/>
    <w:rsid w:val="00A73F08"/>
    <w:rsid w:val="00A74833"/>
    <w:rsid w:val="00A74DE7"/>
    <w:rsid w:val="00A758DA"/>
    <w:rsid w:val="00A77C72"/>
    <w:rsid w:val="00A8025A"/>
    <w:rsid w:val="00A8201E"/>
    <w:rsid w:val="00A85201"/>
    <w:rsid w:val="00A865D5"/>
    <w:rsid w:val="00A86D45"/>
    <w:rsid w:val="00A909FC"/>
    <w:rsid w:val="00A91185"/>
    <w:rsid w:val="00A92232"/>
    <w:rsid w:val="00A93696"/>
    <w:rsid w:val="00A94331"/>
    <w:rsid w:val="00A955F1"/>
    <w:rsid w:val="00AA1F3F"/>
    <w:rsid w:val="00AA20B6"/>
    <w:rsid w:val="00AA228A"/>
    <w:rsid w:val="00AA2821"/>
    <w:rsid w:val="00AA2F86"/>
    <w:rsid w:val="00AB04F3"/>
    <w:rsid w:val="00AB29FB"/>
    <w:rsid w:val="00AB41ED"/>
    <w:rsid w:val="00AB5174"/>
    <w:rsid w:val="00AB5A12"/>
    <w:rsid w:val="00AB6FFC"/>
    <w:rsid w:val="00AC2980"/>
    <w:rsid w:val="00AC2E78"/>
    <w:rsid w:val="00AC7842"/>
    <w:rsid w:val="00AD04D5"/>
    <w:rsid w:val="00AD0C3D"/>
    <w:rsid w:val="00AD1657"/>
    <w:rsid w:val="00AD1D99"/>
    <w:rsid w:val="00AD1E72"/>
    <w:rsid w:val="00AD34C3"/>
    <w:rsid w:val="00AD3B0D"/>
    <w:rsid w:val="00AD757A"/>
    <w:rsid w:val="00AD762B"/>
    <w:rsid w:val="00AE3C47"/>
    <w:rsid w:val="00AE6681"/>
    <w:rsid w:val="00AE7381"/>
    <w:rsid w:val="00AF4FC1"/>
    <w:rsid w:val="00B00028"/>
    <w:rsid w:val="00B005D0"/>
    <w:rsid w:val="00B01A5F"/>
    <w:rsid w:val="00B05AED"/>
    <w:rsid w:val="00B106C7"/>
    <w:rsid w:val="00B11F0A"/>
    <w:rsid w:val="00B12364"/>
    <w:rsid w:val="00B14B8C"/>
    <w:rsid w:val="00B20005"/>
    <w:rsid w:val="00B23B98"/>
    <w:rsid w:val="00B26219"/>
    <w:rsid w:val="00B26EF9"/>
    <w:rsid w:val="00B27327"/>
    <w:rsid w:val="00B277A6"/>
    <w:rsid w:val="00B3153B"/>
    <w:rsid w:val="00B345EF"/>
    <w:rsid w:val="00B362E7"/>
    <w:rsid w:val="00B365B6"/>
    <w:rsid w:val="00B40488"/>
    <w:rsid w:val="00B40822"/>
    <w:rsid w:val="00B42F28"/>
    <w:rsid w:val="00B43A91"/>
    <w:rsid w:val="00B43CB8"/>
    <w:rsid w:val="00B44884"/>
    <w:rsid w:val="00B44C87"/>
    <w:rsid w:val="00B47524"/>
    <w:rsid w:val="00B50D3F"/>
    <w:rsid w:val="00B50D99"/>
    <w:rsid w:val="00B5216D"/>
    <w:rsid w:val="00B554CE"/>
    <w:rsid w:val="00B566C1"/>
    <w:rsid w:val="00B6035D"/>
    <w:rsid w:val="00B60CB7"/>
    <w:rsid w:val="00B64610"/>
    <w:rsid w:val="00B66D04"/>
    <w:rsid w:val="00B70267"/>
    <w:rsid w:val="00B70454"/>
    <w:rsid w:val="00B7238D"/>
    <w:rsid w:val="00B7399D"/>
    <w:rsid w:val="00B73A30"/>
    <w:rsid w:val="00B75442"/>
    <w:rsid w:val="00B7671F"/>
    <w:rsid w:val="00B77FE2"/>
    <w:rsid w:val="00B80C00"/>
    <w:rsid w:val="00B81B76"/>
    <w:rsid w:val="00B82C0D"/>
    <w:rsid w:val="00B83467"/>
    <w:rsid w:val="00B83634"/>
    <w:rsid w:val="00B86E28"/>
    <w:rsid w:val="00B8770F"/>
    <w:rsid w:val="00B87FE8"/>
    <w:rsid w:val="00B93B33"/>
    <w:rsid w:val="00B9481F"/>
    <w:rsid w:val="00B96709"/>
    <w:rsid w:val="00BA2F06"/>
    <w:rsid w:val="00BA52E2"/>
    <w:rsid w:val="00BA5A29"/>
    <w:rsid w:val="00BA5CBB"/>
    <w:rsid w:val="00BA5FEA"/>
    <w:rsid w:val="00BB07A2"/>
    <w:rsid w:val="00BB09EB"/>
    <w:rsid w:val="00BB3514"/>
    <w:rsid w:val="00BB3CFC"/>
    <w:rsid w:val="00BB63A4"/>
    <w:rsid w:val="00BC067E"/>
    <w:rsid w:val="00BC0B6C"/>
    <w:rsid w:val="00BC34A0"/>
    <w:rsid w:val="00BC51BA"/>
    <w:rsid w:val="00BC5CCC"/>
    <w:rsid w:val="00BC5D0D"/>
    <w:rsid w:val="00BC7D89"/>
    <w:rsid w:val="00BD08B1"/>
    <w:rsid w:val="00BD5329"/>
    <w:rsid w:val="00BD724E"/>
    <w:rsid w:val="00BD7587"/>
    <w:rsid w:val="00BD78B1"/>
    <w:rsid w:val="00BD7C6F"/>
    <w:rsid w:val="00BE04D8"/>
    <w:rsid w:val="00BE213D"/>
    <w:rsid w:val="00BE26C5"/>
    <w:rsid w:val="00BE2AE7"/>
    <w:rsid w:val="00BE3180"/>
    <w:rsid w:val="00BE6E30"/>
    <w:rsid w:val="00BE740D"/>
    <w:rsid w:val="00BE7690"/>
    <w:rsid w:val="00BF0651"/>
    <w:rsid w:val="00BF1954"/>
    <w:rsid w:val="00BF2335"/>
    <w:rsid w:val="00BF40D4"/>
    <w:rsid w:val="00C00045"/>
    <w:rsid w:val="00C01789"/>
    <w:rsid w:val="00C02019"/>
    <w:rsid w:val="00C0401B"/>
    <w:rsid w:val="00C04227"/>
    <w:rsid w:val="00C06DB5"/>
    <w:rsid w:val="00C07B63"/>
    <w:rsid w:val="00C10DE6"/>
    <w:rsid w:val="00C1241E"/>
    <w:rsid w:val="00C15270"/>
    <w:rsid w:val="00C159F5"/>
    <w:rsid w:val="00C16059"/>
    <w:rsid w:val="00C16D1D"/>
    <w:rsid w:val="00C21A90"/>
    <w:rsid w:val="00C23DDC"/>
    <w:rsid w:val="00C25FF7"/>
    <w:rsid w:val="00C2782A"/>
    <w:rsid w:val="00C3058B"/>
    <w:rsid w:val="00C3143F"/>
    <w:rsid w:val="00C328ED"/>
    <w:rsid w:val="00C32EAE"/>
    <w:rsid w:val="00C3327E"/>
    <w:rsid w:val="00C336B6"/>
    <w:rsid w:val="00C341E2"/>
    <w:rsid w:val="00C346AD"/>
    <w:rsid w:val="00C357A1"/>
    <w:rsid w:val="00C36B2C"/>
    <w:rsid w:val="00C4116A"/>
    <w:rsid w:val="00C42FE7"/>
    <w:rsid w:val="00C43565"/>
    <w:rsid w:val="00C43CD6"/>
    <w:rsid w:val="00C44499"/>
    <w:rsid w:val="00C4511E"/>
    <w:rsid w:val="00C45177"/>
    <w:rsid w:val="00C45989"/>
    <w:rsid w:val="00C45FD3"/>
    <w:rsid w:val="00C50D1A"/>
    <w:rsid w:val="00C531CC"/>
    <w:rsid w:val="00C54053"/>
    <w:rsid w:val="00C55AB9"/>
    <w:rsid w:val="00C621E3"/>
    <w:rsid w:val="00C633DF"/>
    <w:rsid w:val="00C63439"/>
    <w:rsid w:val="00C634C4"/>
    <w:rsid w:val="00C65839"/>
    <w:rsid w:val="00C65EE6"/>
    <w:rsid w:val="00C6600D"/>
    <w:rsid w:val="00C67549"/>
    <w:rsid w:val="00C72A1C"/>
    <w:rsid w:val="00C737C5"/>
    <w:rsid w:val="00C76B6A"/>
    <w:rsid w:val="00C773E4"/>
    <w:rsid w:val="00C803E9"/>
    <w:rsid w:val="00C8191B"/>
    <w:rsid w:val="00C81E5C"/>
    <w:rsid w:val="00C856B7"/>
    <w:rsid w:val="00C85C1F"/>
    <w:rsid w:val="00C91307"/>
    <w:rsid w:val="00C91443"/>
    <w:rsid w:val="00C921F0"/>
    <w:rsid w:val="00C9259E"/>
    <w:rsid w:val="00C9282C"/>
    <w:rsid w:val="00C92F3F"/>
    <w:rsid w:val="00C931B6"/>
    <w:rsid w:val="00C935A4"/>
    <w:rsid w:val="00C958FE"/>
    <w:rsid w:val="00C97170"/>
    <w:rsid w:val="00C97D50"/>
    <w:rsid w:val="00CA0136"/>
    <w:rsid w:val="00CA1FB9"/>
    <w:rsid w:val="00CA2071"/>
    <w:rsid w:val="00CA2AA2"/>
    <w:rsid w:val="00CA4086"/>
    <w:rsid w:val="00CB1797"/>
    <w:rsid w:val="00CB2356"/>
    <w:rsid w:val="00CB31C4"/>
    <w:rsid w:val="00CB6EF8"/>
    <w:rsid w:val="00CB6FF9"/>
    <w:rsid w:val="00CC0CE1"/>
    <w:rsid w:val="00CC112B"/>
    <w:rsid w:val="00CC2663"/>
    <w:rsid w:val="00CC2E13"/>
    <w:rsid w:val="00CC51DE"/>
    <w:rsid w:val="00CC58DE"/>
    <w:rsid w:val="00CC635D"/>
    <w:rsid w:val="00CC6B76"/>
    <w:rsid w:val="00CC74EB"/>
    <w:rsid w:val="00CC781A"/>
    <w:rsid w:val="00CC7E76"/>
    <w:rsid w:val="00CD0C4E"/>
    <w:rsid w:val="00CD32FF"/>
    <w:rsid w:val="00CD75AC"/>
    <w:rsid w:val="00CD7FA6"/>
    <w:rsid w:val="00CE05BE"/>
    <w:rsid w:val="00CE18BC"/>
    <w:rsid w:val="00CE35FE"/>
    <w:rsid w:val="00CE4B31"/>
    <w:rsid w:val="00CE7305"/>
    <w:rsid w:val="00CF0094"/>
    <w:rsid w:val="00CF2F79"/>
    <w:rsid w:val="00CF430B"/>
    <w:rsid w:val="00CF7398"/>
    <w:rsid w:val="00D02DB1"/>
    <w:rsid w:val="00D02E98"/>
    <w:rsid w:val="00D0364D"/>
    <w:rsid w:val="00D03B6D"/>
    <w:rsid w:val="00D146A7"/>
    <w:rsid w:val="00D14B74"/>
    <w:rsid w:val="00D1781F"/>
    <w:rsid w:val="00D21716"/>
    <w:rsid w:val="00D221E3"/>
    <w:rsid w:val="00D22BA3"/>
    <w:rsid w:val="00D22ED4"/>
    <w:rsid w:val="00D239EA"/>
    <w:rsid w:val="00D25BB1"/>
    <w:rsid w:val="00D27169"/>
    <w:rsid w:val="00D27ED7"/>
    <w:rsid w:val="00D322F7"/>
    <w:rsid w:val="00D3380B"/>
    <w:rsid w:val="00D35316"/>
    <w:rsid w:val="00D3597D"/>
    <w:rsid w:val="00D40E0D"/>
    <w:rsid w:val="00D4171F"/>
    <w:rsid w:val="00D423E5"/>
    <w:rsid w:val="00D43E4A"/>
    <w:rsid w:val="00D43FF7"/>
    <w:rsid w:val="00D44151"/>
    <w:rsid w:val="00D4567D"/>
    <w:rsid w:val="00D46DD5"/>
    <w:rsid w:val="00D5224C"/>
    <w:rsid w:val="00D53874"/>
    <w:rsid w:val="00D53AD8"/>
    <w:rsid w:val="00D54CEA"/>
    <w:rsid w:val="00D5511B"/>
    <w:rsid w:val="00D5635E"/>
    <w:rsid w:val="00D56C86"/>
    <w:rsid w:val="00D601B2"/>
    <w:rsid w:val="00D62121"/>
    <w:rsid w:val="00D639A5"/>
    <w:rsid w:val="00D63B6A"/>
    <w:rsid w:val="00D6587E"/>
    <w:rsid w:val="00D65A5F"/>
    <w:rsid w:val="00D707CB"/>
    <w:rsid w:val="00D716C3"/>
    <w:rsid w:val="00D71B5B"/>
    <w:rsid w:val="00D71EAE"/>
    <w:rsid w:val="00D72E40"/>
    <w:rsid w:val="00D7739A"/>
    <w:rsid w:val="00D8013C"/>
    <w:rsid w:val="00D81283"/>
    <w:rsid w:val="00D8329F"/>
    <w:rsid w:val="00D85880"/>
    <w:rsid w:val="00D8629E"/>
    <w:rsid w:val="00D879DD"/>
    <w:rsid w:val="00D87F31"/>
    <w:rsid w:val="00D90355"/>
    <w:rsid w:val="00D90EBC"/>
    <w:rsid w:val="00D91B3B"/>
    <w:rsid w:val="00D92BE4"/>
    <w:rsid w:val="00D940C0"/>
    <w:rsid w:val="00D944E1"/>
    <w:rsid w:val="00DA399A"/>
    <w:rsid w:val="00DA3E1C"/>
    <w:rsid w:val="00DA3E98"/>
    <w:rsid w:val="00DA56FA"/>
    <w:rsid w:val="00DA5CAF"/>
    <w:rsid w:val="00DA6D96"/>
    <w:rsid w:val="00DB03BF"/>
    <w:rsid w:val="00DB2E9B"/>
    <w:rsid w:val="00DB39C7"/>
    <w:rsid w:val="00DB57DF"/>
    <w:rsid w:val="00DB5885"/>
    <w:rsid w:val="00DB69B1"/>
    <w:rsid w:val="00DB6B00"/>
    <w:rsid w:val="00DB73EA"/>
    <w:rsid w:val="00DB7B3C"/>
    <w:rsid w:val="00DC174B"/>
    <w:rsid w:val="00DC1B0B"/>
    <w:rsid w:val="00DC20E4"/>
    <w:rsid w:val="00DC58CD"/>
    <w:rsid w:val="00DD100C"/>
    <w:rsid w:val="00DD2847"/>
    <w:rsid w:val="00DD3E5F"/>
    <w:rsid w:val="00DD4167"/>
    <w:rsid w:val="00DD584F"/>
    <w:rsid w:val="00DD5C87"/>
    <w:rsid w:val="00DD6FFF"/>
    <w:rsid w:val="00DD71FA"/>
    <w:rsid w:val="00DE2241"/>
    <w:rsid w:val="00DE3E7A"/>
    <w:rsid w:val="00DE527D"/>
    <w:rsid w:val="00DE56EE"/>
    <w:rsid w:val="00DE579D"/>
    <w:rsid w:val="00DE6C24"/>
    <w:rsid w:val="00DE6FB1"/>
    <w:rsid w:val="00DE7B1A"/>
    <w:rsid w:val="00DF51ED"/>
    <w:rsid w:val="00E04B04"/>
    <w:rsid w:val="00E05334"/>
    <w:rsid w:val="00E05B6E"/>
    <w:rsid w:val="00E114AE"/>
    <w:rsid w:val="00E12481"/>
    <w:rsid w:val="00E12F43"/>
    <w:rsid w:val="00E140CE"/>
    <w:rsid w:val="00E17718"/>
    <w:rsid w:val="00E247BF"/>
    <w:rsid w:val="00E25396"/>
    <w:rsid w:val="00E259C9"/>
    <w:rsid w:val="00E27145"/>
    <w:rsid w:val="00E27781"/>
    <w:rsid w:val="00E34A3B"/>
    <w:rsid w:val="00E352C6"/>
    <w:rsid w:val="00E35B6A"/>
    <w:rsid w:val="00E378FB"/>
    <w:rsid w:val="00E4122C"/>
    <w:rsid w:val="00E42403"/>
    <w:rsid w:val="00E42608"/>
    <w:rsid w:val="00E43E29"/>
    <w:rsid w:val="00E4702C"/>
    <w:rsid w:val="00E51A11"/>
    <w:rsid w:val="00E52015"/>
    <w:rsid w:val="00E55EA2"/>
    <w:rsid w:val="00E56455"/>
    <w:rsid w:val="00E574A0"/>
    <w:rsid w:val="00E57E8A"/>
    <w:rsid w:val="00E61788"/>
    <w:rsid w:val="00E62E54"/>
    <w:rsid w:val="00E62EA6"/>
    <w:rsid w:val="00E6518D"/>
    <w:rsid w:val="00E737D2"/>
    <w:rsid w:val="00E74EDF"/>
    <w:rsid w:val="00E8114F"/>
    <w:rsid w:val="00E86243"/>
    <w:rsid w:val="00E87B7E"/>
    <w:rsid w:val="00E87E0C"/>
    <w:rsid w:val="00E900F2"/>
    <w:rsid w:val="00E95B21"/>
    <w:rsid w:val="00EA3935"/>
    <w:rsid w:val="00EA3B44"/>
    <w:rsid w:val="00EA4E38"/>
    <w:rsid w:val="00EA5D5E"/>
    <w:rsid w:val="00EA6171"/>
    <w:rsid w:val="00EA667E"/>
    <w:rsid w:val="00EA6B1A"/>
    <w:rsid w:val="00EB180C"/>
    <w:rsid w:val="00EB5855"/>
    <w:rsid w:val="00EB66AC"/>
    <w:rsid w:val="00EB7E19"/>
    <w:rsid w:val="00EC0CA9"/>
    <w:rsid w:val="00EC1879"/>
    <w:rsid w:val="00EC54E3"/>
    <w:rsid w:val="00ED0741"/>
    <w:rsid w:val="00ED2BCE"/>
    <w:rsid w:val="00ED4225"/>
    <w:rsid w:val="00ED46BB"/>
    <w:rsid w:val="00ED4FB9"/>
    <w:rsid w:val="00ED4FCC"/>
    <w:rsid w:val="00ED633F"/>
    <w:rsid w:val="00EE0150"/>
    <w:rsid w:val="00EE2AF5"/>
    <w:rsid w:val="00EE5662"/>
    <w:rsid w:val="00EE7A2B"/>
    <w:rsid w:val="00EF0072"/>
    <w:rsid w:val="00EF3224"/>
    <w:rsid w:val="00EF4526"/>
    <w:rsid w:val="00EF5F3C"/>
    <w:rsid w:val="00EF6CE8"/>
    <w:rsid w:val="00F05D2E"/>
    <w:rsid w:val="00F10EF6"/>
    <w:rsid w:val="00F1113E"/>
    <w:rsid w:val="00F117B4"/>
    <w:rsid w:val="00F11B14"/>
    <w:rsid w:val="00F124C3"/>
    <w:rsid w:val="00F13798"/>
    <w:rsid w:val="00F138A7"/>
    <w:rsid w:val="00F15FBD"/>
    <w:rsid w:val="00F17890"/>
    <w:rsid w:val="00F204CB"/>
    <w:rsid w:val="00F208ED"/>
    <w:rsid w:val="00F20B56"/>
    <w:rsid w:val="00F20F1E"/>
    <w:rsid w:val="00F212D1"/>
    <w:rsid w:val="00F229FC"/>
    <w:rsid w:val="00F24A13"/>
    <w:rsid w:val="00F257E0"/>
    <w:rsid w:val="00F25A48"/>
    <w:rsid w:val="00F2752D"/>
    <w:rsid w:val="00F27F85"/>
    <w:rsid w:val="00F31A25"/>
    <w:rsid w:val="00F336E0"/>
    <w:rsid w:val="00F33A11"/>
    <w:rsid w:val="00F34816"/>
    <w:rsid w:val="00F3503A"/>
    <w:rsid w:val="00F350CE"/>
    <w:rsid w:val="00F357B3"/>
    <w:rsid w:val="00F36EF0"/>
    <w:rsid w:val="00F37146"/>
    <w:rsid w:val="00F439C6"/>
    <w:rsid w:val="00F43CA0"/>
    <w:rsid w:val="00F52DBC"/>
    <w:rsid w:val="00F533E1"/>
    <w:rsid w:val="00F55205"/>
    <w:rsid w:val="00F57890"/>
    <w:rsid w:val="00F6011E"/>
    <w:rsid w:val="00F61C18"/>
    <w:rsid w:val="00F63708"/>
    <w:rsid w:val="00F64FF1"/>
    <w:rsid w:val="00F705FC"/>
    <w:rsid w:val="00F740E0"/>
    <w:rsid w:val="00F75438"/>
    <w:rsid w:val="00F7679F"/>
    <w:rsid w:val="00F768CD"/>
    <w:rsid w:val="00F77C0A"/>
    <w:rsid w:val="00F81767"/>
    <w:rsid w:val="00F8364D"/>
    <w:rsid w:val="00F84F19"/>
    <w:rsid w:val="00F8695F"/>
    <w:rsid w:val="00F86A02"/>
    <w:rsid w:val="00F86A80"/>
    <w:rsid w:val="00F87259"/>
    <w:rsid w:val="00F93ABB"/>
    <w:rsid w:val="00F9441D"/>
    <w:rsid w:val="00F97B8C"/>
    <w:rsid w:val="00FA0894"/>
    <w:rsid w:val="00FA1AB1"/>
    <w:rsid w:val="00FA3FAB"/>
    <w:rsid w:val="00FA5C27"/>
    <w:rsid w:val="00FA7238"/>
    <w:rsid w:val="00FA74D7"/>
    <w:rsid w:val="00FB195B"/>
    <w:rsid w:val="00FB4A69"/>
    <w:rsid w:val="00FB6229"/>
    <w:rsid w:val="00FB7223"/>
    <w:rsid w:val="00FB733E"/>
    <w:rsid w:val="00FC0075"/>
    <w:rsid w:val="00FC0764"/>
    <w:rsid w:val="00FC39AE"/>
    <w:rsid w:val="00FD0FB7"/>
    <w:rsid w:val="00FD30CB"/>
    <w:rsid w:val="00FD4592"/>
    <w:rsid w:val="00FD57EA"/>
    <w:rsid w:val="00FD7FD8"/>
    <w:rsid w:val="00FE00B1"/>
    <w:rsid w:val="00FE1D7F"/>
    <w:rsid w:val="00FE3457"/>
    <w:rsid w:val="00FE3CF2"/>
    <w:rsid w:val="00FE49DB"/>
    <w:rsid w:val="00FE7683"/>
    <w:rsid w:val="00FE7916"/>
    <w:rsid w:val="00FE7A19"/>
    <w:rsid w:val="00FF04DB"/>
    <w:rsid w:val="00FF18A4"/>
    <w:rsid w:val="00FF2CDF"/>
    <w:rsid w:val="00FF35C4"/>
    <w:rsid w:val="00FF3C5D"/>
    <w:rsid w:val="00FF43DF"/>
    <w:rsid w:val="00FF52E8"/>
    <w:rsid w:val="00FF69D9"/>
    <w:rsid w:val="00FF6B5D"/>
    <w:rsid w:val="00FF7B1E"/>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5A59"/>
  <w15:docId w15:val="{1B3A69E2-C51E-49AE-97C7-C42E902B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EB"/>
    <w:rPr>
      <w:sz w:val="22"/>
      <w:szCs w:val="22"/>
      <w:lang w:eastAsia="en-US"/>
    </w:rPr>
  </w:style>
  <w:style w:type="paragraph" w:styleId="Heading3">
    <w:name w:val="heading 3"/>
    <w:basedOn w:val="Normal"/>
    <w:next w:val="Normal"/>
    <w:link w:val="Heading3Char"/>
    <w:uiPriority w:val="9"/>
    <w:unhideWhenUsed/>
    <w:qFormat/>
    <w:rsid w:val="00FE7683"/>
    <w:pPr>
      <w:keepNext/>
      <w:keepLines/>
      <w:spacing w:before="200" w:line="276" w:lineRule="auto"/>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unhideWhenUsed/>
    <w:rsid w:val="002D61EB"/>
    <w:rPr>
      <w:rFonts w:ascii="Tahoma" w:hAnsi="Tahoma" w:cs="Tahoma"/>
      <w:sz w:val="16"/>
      <w:szCs w:val="16"/>
    </w:rPr>
  </w:style>
  <w:style w:type="character" w:customStyle="1" w:styleId="BalloonTextChar">
    <w:name w:val="Balloon Text Char"/>
    <w:semiHidden/>
    <w:rsid w:val="002D61EB"/>
    <w:rPr>
      <w:rFonts w:ascii="Tahoma" w:hAnsi="Tahoma" w:cs="Tahoma"/>
      <w:sz w:val="16"/>
      <w:szCs w:val="16"/>
    </w:rPr>
  </w:style>
  <w:style w:type="paragraph" w:styleId="ListParagraph">
    <w:name w:val="List Paragraph"/>
    <w:basedOn w:val="Normal"/>
    <w:qFormat/>
    <w:rsid w:val="002D61EB"/>
    <w:pPr>
      <w:ind w:left="720"/>
      <w:contextualSpacing/>
    </w:pPr>
  </w:style>
  <w:style w:type="paragraph" w:styleId="Footer">
    <w:name w:val="footer"/>
    <w:basedOn w:val="Normal"/>
    <w:link w:val="FooterChar"/>
    <w:uiPriority w:val="99"/>
    <w:rsid w:val="005178F9"/>
    <w:pPr>
      <w:widowControl w:val="0"/>
      <w:tabs>
        <w:tab w:val="center" w:pos="4320"/>
        <w:tab w:val="right" w:pos="8640"/>
      </w:tabs>
      <w:spacing w:after="120" w:line="240" w:lineRule="exact"/>
    </w:pPr>
    <w:rPr>
      <w:rFonts w:ascii="Arial" w:eastAsia="Times" w:hAnsi="Arial"/>
      <w:sz w:val="16"/>
      <w:szCs w:val="20"/>
      <w:lang w:eastAsia="en-GB"/>
    </w:rPr>
  </w:style>
  <w:style w:type="character" w:customStyle="1" w:styleId="FooterChar">
    <w:name w:val="Footer Char"/>
    <w:link w:val="Footer"/>
    <w:uiPriority w:val="99"/>
    <w:rsid w:val="005178F9"/>
    <w:rPr>
      <w:rFonts w:ascii="Arial" w:eastAsia="Times" w:hAnsi="Arial"/>
      <w:sz w:val="16"/>
      <w:lang w:val="en-GB" w:eastAsia="en-GB"/>
    </w:rPr>
  </w:style>
  <w:style w:type="paragraph" w:styleId="BodyText2">
    <w:name w:val="Body Text 2"/>
    <w:basedOn w:val="Normal"/>
    <w:link w:val="BodyText2Char"/>
    <w:semiHidden/>
    <w:unhideWhenUsed/>
    <w:rsid w:val="0015144F"/>
    <w:rPr>
      <w:rFonts w:ascii="Arial" w:eastAsia="Times New Roman" w:hAnsi="Arial"/>
      <w:spacing w:val="-5"/>
      <w:sz w:val="24"/>
      <w:szCs w:val="20"/>
      <w:lang w:eastAsia="x-none"/>
    </w:rPr>
  </w:style>
  <w:style w:type="character" w:customStyle="1" w:styleId="BodyText2Char">
    <w:name w:val="Body Text 2 Char"/>
    <w:link w:val="BodyText2"/>
    <w:semiHidden/>
    <w:rsid w:val="0015144F"/>
    <w:rPr>
      <w:rFonts w:ascii="Arial" w:eastAsia="Times New Roman" w:hAnsi="Arial"/>
      <w:spacing w:val="-5"/>
      <w:sz w:val="24"/>
      <w:lang w:val="en-GB"/>
    </w:rPr>
  </w:style>
  <w:style w:type="paragraph" w:styleId="Header">
    <w:name w:val="header"/>
    <w:basedOn w:val="Normal"/>
    <w:link w:val="HeaderChar"/>
    <w:uiPriority w:val="99"/>
    <w:unhideWhenUsed/>
    <w:rsid w:val="00BE3180"/>
    <w:pPr>
      <w:tabs>
        <w:tab w:val="center" w:pos="4513"/>
        <w:tab w:val="right" w:pos="9026"/>
      </w:tabs>
    </w:pPr>
    <w:rPr>
      <w:lang w:val="x-none"/>
    </w:rPr>
  </w:style>
  <w:style w:type="character" w:customStyle="1" w:styleId="HeaderChar">
    <w:name w:val="Header Char"/>
    <w:link w:val="Header"/>
    <w:uiPriority w:val="99"/>
    <w:rsid w:val="00BE3180"/>
    <w:rPr>
      <w:sz w:val="22"/>
      <w:szCs w:val="22"/>
      <w:lang w:eastAsia="en-US"/>
    </w:rPr>
  </w:style>
  <w:style w:type="paragraph" w:styleId="NormalWeb">
    <w:name w:val="Normal (Web)"/>
    <w:basedOn w:val="Normal"/>
    <w:uiPriority w:val="99"/>
    <w:semiHidden/>
    <w:unhideWhenUsed/>
    <w:rsid w:val="00B005D0"/>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rsid w:val="00107CE9"/>
    <w:pPr>
      <w:autoSpaceDE w:val="0"/>
      <w:autoSpaceDN w:val="0"/>
      <w:adjustRightInd w:val="0"/>
    </w:pPr>
    <w:rPr>
      <w:rFonts w:ascii="Helvetica 45 Light" w:hAnsi="Helvetica 45 Light" w:cs="Helvetica 45 Light"/>
      <w:color w:val="000000"/>
      <w:sz w:val="24"/>
      <w:szCs w:val="24"/>
      <w:lang w:eastAsia="en-US"/>
    </w:rPr>
  </w:style>
  <w:style w:type="paragraph" w:customStyle="1" w:styleId="p1">
    <w:name w:val="p1"/>
    <w:basedOn w:val="Normal"/>
    <w:rsid w:val="00106047"/>
    <w:rPr>
      <w:rFonts w:ascii=".SF UI Display" w:hAnsi=".SF UI Display"/>
      <w:color w:val="454545"/>
      <w:sz w:val="60"/>
      <w:szCs w:val="60"/>
      <w:lang w:eastAsia="en-GB"/>
    </w:rPr>
  </w:style>
  <w:style w:type="paragraph" w:customStyle="1" w:styleId="p2">
    <w:name w:val="p2"/>
    <w:basedOn w:val="Normal"/>
    <w:rsid w:val="00106047"/>
    <w:rPr>
      <w:rFonts w:ascii=".SF UI Display" w:hAnsi=".SF UI Display"/>
      <w:color w:val="454545"/>
      <w:sz w:val="60"/>
      <w:szCs w:val="60"/>
      <w:lang w:eastAsia="en-GB"/>
    </w:rPr>
  </w:style>
  <w:style w:type="character" w:customStyle="1" w:styleId="s1">
    <w:name w:val="s1"/>
    <w:rsid w:val="00106047"/>
    <w:rPr>
      <w:rFonts w:ascii=".SFUIDisplay-Semibold" w:hAnsi=".SFUIDisplay-Semibold" w:hint="default"/>
      <w:b w:val="0"/>
      <w:bCs w:val="0"/>
      <w:i w:val="0"/>
      <w:iCs w:val="0"/>
      <w:sz w:val="80"/>
      <w:szCs w:val="80"/>
    </w:rPr>
  </w:style>
  <w:style w:type="character" w:customStyle="1" w:styleId="apple-converted-space">
    <w:name w:val="apple-converted-space"/>
    <w:rsid w:val="00106047"/>
  </w:style>
  <w:style w:type="character" w:customStyle="1" w:styleId="Heading3Char">
    <w:name w:val="Heading 3 Char"/>
    <w:link w:val="Heading3"/>
    <w:uiPriority w:val="9"/>
    <w:rsid w:val="00FE7683"/>
    <w:rPr>
      <w:rFonts w:ascii="Cambria" w:eastAsia="Times New Roman" w:hAnsi="Cambria"/>
      <w:b/>
      <w:bCs/>
      <w:color w:val="4F81BD"/>
      <w:sz w:val="22"/>
      <w:szCs w:val="22"/>
      <w:lang w:eastAsia="en-US"/>
    </w:rPr>
  </w:style>
  <w:style w:type="character" w:styleId="CommentReference">
    <w:name w:val="annotation reference"/>
    <w:basedOn w:val="DefaultParagraphFont"/>
    <w:uiPriority w:val="99"/>
    <w:semiHidden/>
    <w:unhideWhenUsed/>
    <w:rsid w:val="00C55AB9"/>
    <w:rPr>
      <w:sz w:val="16"/>
      <w:szCs w:val="16"/>
    </w:rPr>
  </w:style>
  <w:style w:type="paragraph" w:styleId="CommentText">
    <w:name w:val="annotation text"/>
    <w:basedOn w:val="Normal"/>
    <w:link w:val="CommentTextChar"/>
    <w:uiPriority w:val="99"/>
    <w:semiHidden/>
    <w:unhideWhenUsed/>
    <w:rsid w:val="00C55AB9"/>
    <w:rPr>
      <w:sz w:val="20"/>
      <w:szCs w:val="20"/>
    </w:rPr>
  </w:style>
  <w:style w:type="character" w:customStyle="1" w:styleId="CommentTextChar">
    <w:name w:val="Comment Text Char"/>
    <w:basedOn w:val="DefaultParagraphFont"/>
    <w:link w:val="CommentText"/>
    <w:uiPriority w:val="99"/>
    <w:semiHidden/>
    <w:rsid w:val="00C55AB9"/>
    <w:rPr>
      <w:lang w:eastAsia="en-US"/>
    </w:rPr>
  </w:style>
  <w:style w:type="paragraph" w:styleId="CommentSubject">
    <w:name w:val="annotation subject"/>
    <w:basedOn w:val="CommentText"/>
    <w:next w:val="CommentText"/>
    <w:link w:val="CommentSubjectChar"/>
    <w:uiPriority w:val="99"/>
    <w:semiHidden/>
    <w:unhideWhenUsed/>
    <w:rsid w:val="00C55AB9"/>
    <w:rPr>
      <w:b/>
      <w:bCs/>
    </w:rPr>
  </w:style>
  <w:style w:type="character" w:customStyle="1" w:styleId="CommentSubjectChar">
    <w:name w:val="Comment Subject Char"/>
    <w:basedOn w:val="CommentTextChar"/>
    <w:link w:val="CommentSubject"/>
    <w:uiPriority w:val="99"/>
    <w:semiHidden/>
    <w:rsid w:val="00C55AB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5870">
      <w:bodyDiv w:val="1"/>
      <w:marLeft w:val="0"/>
      <w:marRight w:val="0"/>
      <w:marTop w:val="0"/>
      <w:marBottom w:val="0"/>
      <w:divBdr>
        <w:top w:val="none" w:sz="0" w:space="0" w:color="auto"/>
        <w:left w:val="none" w:sz="0" w:space="0" w:color="auto"/>
        <w:bottom w:val="none" w:sz="0" w:space="0" w:color="auto"/>
        <w:right w:val="none" w:sz="0" w:space="0" w:color="auto"/>
      </w:divBdr>
    </w:div>
    <w:div w:id="299044652">
      <w:bodyDiv w:val="1"/>
      <w:marLeft w:val="0"/>
      <w:marRight w:val="0"/>
      <w:marTop w:val="0"/>
      <w:marBottom w:val="0"/>
      <w:divBdr>
        <w:top w:val="none" w:sz="0" w:space="0" w:color="auto"/>
        <w:left w:val="none" w:sz="0" w:space="0" w:color="auto"/>
        <w:bottom w:val="none" w:sz="0" w:space="0" w:color="auto"/>
        <w:right w:val="none" w:sz="0" w:space="0" w:color="auto"/>
      </w:divBdr>
    </w:div>
    <w:div w:id="804204820">
      <w:bodyDiv w:val="1"/>
      <w:marLeft w:val="0"/>
      <w:marRight w:val="0"/>
      <w:marTop w:val="0"/>
      <w:marBottom w:val="0"/>
      <w:divBdr>
        <w:top w:val="none" w:sz="0" w:space="0" w:color="auto"/>
        <w:left w:val="none" w:sz="0" w:space="0" w:color="auto"/>
        <w:bottom w:val="none" w:sz="0" w:space="0" w:color="auto"/>
        <w:right w:val="none" w:sz="0" w:space="0" w:color="auto"/>
      </w:divBdr>
    </w:div>
    <w:div w:id="811947061">
      <w:bodyDiv w:val="1"/>
      <w:marLeft w:val="0"/>
      <w:marRight w:val="0"/>
      <w:marTop w:val="0"/>
      <w:marBottom w:val="0"/>
      <w:divBdr>
        <w:top w:val="none" w:sz="0" w:space="0" w:color="auto"/>
        <w:left w:val="none" w:sz="0" w:space="0" w:color="auto"/>
        <w:bottom w:val="none" w:sz="0" w:space="0" w:color="auto"/>
        <w:right w:val="none" w:sz="0" w:space="0" w:color="auto"/>
      </w:divBdr>
    </w:div>
    <w:div w:id="825316921">
      <w:bodyDiv w:val="1"/>
      <w:marLeft w:val="0"/>
      <w:marRight w:val="0"/>
      <w:marTop w:val="0"/>
      <w:marBottom w:val="0"/>
      <w:divBdr>
        <w:top w:val="none" w:sz="0" w:space="0" w:color="auto"/>
        <w:left w:val="none" w:sz="0" w:space="0" w:color="auto"/>
        <w:bottom w:val="none" w:sz="0" w:space="0" w:color="auto"/>
        <w:right w:val="none" w:sz="0" w:space="0" w:color="auto"/>
      </w:divBdr>
    </w:div>
    <w:div w:id="1121531783">
      <w:bodyDiv w:val="1"/>
      <w:marLeft w:val="0"/>
      <w:marRight w:val="0"/>
      <w:marTop w:val="0"/>
      <w:marBottom w:val="0"/>
      <w:divBdr>
        <w:top w:val="none" w:sz="0" w:space="0" w:color="auto"/>
        <w:left w:val="none" w:sz="0" w:space="0" w:color="auto"/>
        <w:bottom w:val="none" w:sz="0" w:space="0" w:color="auto"/>
        <w:right w:val="none" w:sz="0" w:space="0" w:color="auto"/>
      </w:divBdr>
      <w:divsChild>
        <w:div w:id="865796222">
          <w:marLeft w:val="0"/>
          <w:marRight w:val="0"/>
          <w:marTop w:val="0"/>
          <w:marBottom w:val="0"/>
          <w:divBdr>
            <w:top w:val="none" w:sz="0" w:space="0" w:color="auto"/>
            <w:left w:val="none" w:sz="0" w:space="0" w:color="auto"/>
            <w:bottom w:val="none" w:sz="0" w:space="0" w:color="auto"/>
            <w:right w:val="none" w:sz="0" w:space="0" w:color="auto"/>
          </w:divBdr>
        </w:div>
      </w:divsChild>
    </w:div>
    <w:div w:id="1167787864">
      <w:bodyDiv w:val="1"/>
      <w:marLeft w:val="0"/>
      <w:marRight w:val="0"/>
      <w:marTop w:val="0"/>
      <w:marBottom w:val="0"/>
      <w:divBdr>
        <w:top w:val="none" w:sz="0" w:space="0" w:color="auto"/>
        <w:left w:val="none" w:sz="0" w:space="0" w:color="auto"/>
        <w:bottom w:val="none" w:sz="0" w:space="0" w:color="auto"/>
        <w:right w:val="none" w:sz="0" w:space="0" w:color="auto"/>
      </w:divBdr>
    </w:div>
    <w:div w:id="1185751990">
      <w:bodyDiv w:val="1"/>
      <w:marLeft w:val="0"/>
      <w:marRight w:val="0"/>
      <w:marTop w:val="0"/>
      <w:marBottom w:val="0"/>
      <w:divBdr>
        <w:top w:val="none" w:sz="0" w:space="0" w:color="auto"/>
        <w:left w:val="none" w:sz="0" w:space="0" w:color="auto"/>
        <w:bottom w:val="none" w:sz="0" w:space="0" w:color="auto"/>
        <w:right w:val="none" w:sz="0" w:space="0" w:color="auto"/>
      </w:divBdr>
    </w:div>
    <w:div w:id="1243835982">
      <w:bodyDiv w:val="1"/>
      <w:marLeft w:val="0"/>
      <w:marRight w:val="0"/>
      <w:marTop w:val="0"/>
      <w:marBottom w:val="0"/>
      <w:divBdr>
        <w:top w:val="none" w:sz="0" w:space="0" w:color="auto"/>
        <w:left w:val="none" w:sz="0" w:space="0" w:color="auto"/>
        <w:bottom w:val="none" w:sz="0" w:space="0" w:color="auto"/>
        <w:right w:val="none" w:sz="0" w:space="0" w:color="auto"/>
      </w:divBdr>
    </w:div>
    <w:div w:id="1325164083">
      <w:bodyDiv w:val="1"/>
      <w:marLeft w:val="0"/>
      <w:marRight w:val="0"/>
      <w:marTop w:val="0"/>
      <w:marBottom w:val="0"/>
      <w:divBdr>
        <w:top w:val="none" w:sz="0" w:space="0" w:color="auto"/>
        <w:left w:val="none" w:sz="0" w:space="0" w:color="auto"/>
        <w:bottom w:val="none" w:sz="0" w:space="0" w:color="auto"/>
        <w:right w:val="none" w:sz="0" w:space="0" w:color="auto"/>
      </w:divBdr>
      <w:divsChild>
        <w:div w:id="1482884105">
          <w:marLeft w:val="0"/>
          <w:marRight w:val="0"/>
          <w:marTop w:val="0"/>
          <w:marBottom w:val="0"/>
          <w:divBdr>
            <w:top w:val="none" w:sz="0" w:space="0" w:color="auto"/>
            <w:left w:val="none" w:sz="0" w:space="0" w:color="auto"/>
            <w:bottom w:val="none" w:sz="0" w:space="0" w:color="auto"/>
            <w:right w:val="none" w:sz="0" w:space="0" w:color="auto"/>
          </w:divBdr>
        </w:div>
      </w:divsChild>
    </w:div>
    <w:div w:id="1401244493">
      <w:bodyDiv w:val="1"/>
      <w:marLeft w:val="0"/>
      <w:marRight w:val="0"/>
      <w:marTop w:val="0"/>
      <w:marBottom w:val="0"/>
      <w:divBdr>
        <w:top w:val="none" w:sz="0" w:space="0" w:color="auto"/>
        <w:left w:val="none" w:sz="0" w:space="0" w:color="auto"/>
        <w:bottom w:val="none" w:sz="0" w:space="0" w:color="auto"/>
        <w:right w:val="none" w:sz="0" w:space="0" w:color="auto"/>
      </w:divBdr>
    </w:div>
    <w:div w:id="1410537704">
      <w:bodyDiv w:val="1"/>
      <w:marLeft w:val="0"/>
      <w:marRight w:val="0"/>
      <w:marTop w:val="0"/>
      <w:marBottom w:val="0"/>
      <w:divBdr>
        <w:top w:val="none" w:sz="0" w:space="0" w:color="auto"/>
        <w:left w:val="none" w:sz="0" w:space="0" w:color="auto"/>
        <w:bottom w:val="none" w:sz="0" w:space="0" w:color="auto"/>
        <w:right w:val="none" w:sz="0" w:space="0" w:color="auto"/>
      </w:divBdr>
    </w:div>
    <w:div w:id="1622108838">
      <w:bodyDiv w:val="1"/>
      <w:marLeft w:val="0"/>
      <w:marRight w:val="0"/>
      <w:marTop w:val="0"/>
      <w:marBottom w:val="0"/>
      <w:divBdr>
        <w:top w:val="none" w:sz="0" w:space="0" w:color="auto"/>
        <w:left w:val="none" w:sz="0" w:space="0" w:color="auto"/>
        <w:bottom w:val="none" w:sz="0" w:space="0" w:color="auto"/>
        <w:right w:val="none" w:sz="0" w:space="0" w:color="auto"/>
      </w:divBdr>
    </w:div>
    <w:div w:id="1689676686">
      <w:bodyDiv w:val="1"/>
      <w:marLeft w:val="0"/>
      <w:marRight w:val="0"/>
      <w:marTop w:val="0"/>
      <w:marBottom w:val="0"/>
      <w:divBdr>
        <w:top w:val="none" w:sz="0" w:space="0" w:color="auto"/>
        <w:left w:val="none" w:sz="0" w:space="0" w:color="auto"/>
        <w:bottom w:val="none" w:sz="0" w:space="0" w:color="auto"/>
        <w:right w:val="none" w:sz="0" w:space="0" w:color="auto"/>
      </w:divBdr>
    </w:div>
    <w:div w:id="1783840206">
      <w:bodyDiv w:val="1"/>
      <w:marLeft w:val="0"/>
      <w:marRight w:val="0"/>
      <w:marTop w:val="0"/>
      <w:marBottom w:val="0"/>
      <w:divBdr>
        <w:top w:val="none" w:sz="0" w:space="0" w:color="auto"/>
        <w:left w:val="none" w:sz="0" w:space="0" w:color="auto"/>
        <w:bottom w:val="none" w:sz="0" w:space="0" w:color="auto"/>
        <w:right w:val="none" w:sz="0" w:space="0" w:color="auto"/>
      </w:divBdr>
    </w:div>
    <w:div w:id="1915160862">
      <w:bodyDiv w:val="1"/>
      <w:marLeft w:val="0"/>
      <w:marRight w:val="0"/>
      <w:marTop w:val="0"/>
      <w:marBottom w:val="0"/>
      <w:divBdr>
        <w:top w:val="none" w:sz="0" w:space="0" w:color="auto"/>
        <w:left w:val="none" w:sz="0" w:space="0" w:color="auto"/>
        <w:bottom w:val="none" w:sz="0" w:space="0" w:color="auto"/>
        <w:right w:val="none" w:sz="0" w:space="0" w:color="auto"/>
      </w:divBdr>
    </w:div>
    <w:div w:id="1923172603">
      <w:bodyDiv w:val="1"/>
      <w:marLeft w:val="0"/>
      <w:marRight w:val="0"/>
      <w:marTop w:val="0"/>
      <w:marBottom w:val="0"/>
      <w:divBdr>
        <w:top w:val="none" w:sz="0" w:space="0" w:color="auto"/>
        <w:left w:val="none" w:sz="0" w:space="0" w:color="auto"/>
        <w:bottom w:val="none" w:sz="0" w:space="0" w:color="auto"/>
        <w:right w:val="none" w:sz="0" w:space="0" w:color="auto"/>
      </w:divBdr>
    </w:div>
    <w:div w:id="2039308591">
      <w:bodyDiv w:val="1"/>
      <w:marLeft w:val="0"/>
      <w:marRight w:val="0"/>
      <w:marTop w:val="0"/>
      <w:marBottom w:val="0"/>
      <w:divBdr>
        <w:top w:val="none" w:sz="0" w:space="0" w:color="auto"/>
        <w:left w:val="none" w:sz="0" w:space="0" w:color="auto"/>
        <w:bottom w:val="none" w:sz="0" w:space="0" w:color="auto"/>
        <w:right w:val="none" w:sz="0" w:space="0" w:color="auto"/>
      </w:divBdr>
    </w:div>
    <w:div w:id="21418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BC1F-CA62-40D4-9C0C-95EF4974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Meeting type:</vt:lpstr>
    </vt:vector>
  </TitlesOfParts>
  <Company>Microsoft</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type:</dc:title>
  <dc:creator>mullans</dc:creator>
  <cp:lastModifiedBy>Michael Rafferty</cp:lastModifiedBy>
  <cp:revision>3</cp:revision>
  <cp:lastPrinted>2017-04-11T16:39:00Z</cp:lastPrinted>
  <dcterms:created xsi:type="dcterms:W3CDTF">2023-09-20T15:07:00Z</dcterms:created>
  <dcterms:modified xsi:type="dcterms:W3CDTF">2023-09-20T15:08:00Z</dcterms:modified>
</cp:coreProperties>
</file>